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802"/>
        <w:gridCol w:w="1575"/>
        <w:gridCol w:w="1650"/>
        <w:gridCol w:w="973"/>
        <w:gridCol w:w="702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  <w:lang w:val="en-US" w:eastAsia="zh-CN"/>
              </w:rPr>
              <w:t>六盘水农信深化改革法律服务项目供应商征集报名表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设立资产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2020年1月1日以来（以签订合同时间为准）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，为市（州）及以上农村信用社（农村商业银行）改制筹建提供法律服务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的案例。 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服务对象名称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10B73F2C"/>
    <w:rsid w:val="1D5A4753"/>
    <w:rsid w:val="44C33205"/>
    <w:rsid w:val="46982923"/>
    <w:rsid w:val="5E7D03B2"/>
    <w:rsid w:val="657F1E55"/>
    <w:rsid w:val="6E68C962"/>
    <w:rsid w:val="7836562B"/>
    <w:rsid w:val="7F5F8598"/>
    <w:rsid w:val="7FCA4D8B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lenovo</cp:lastModifiedBy>
  <dcterms:modified xsi:type="dcterms:W3CDTF">2024-09-18T06:38:17Z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B08F0B948F9851DC15B78B6415180F2E</vt:lpwstr>
  </property>
</Properties>
</file>