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val="en-US" w:eastAsia="zh-CN"/>
        </w:rPr>
        <w:t>附件3</w:t>
      </w:r>
    </w:p>
    <w:p>
      <w:pPr>
        <w:spacing w:line="560" w:lineRule="exact"/>
        <w:jc w:val="center"/>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宏杉全闪存存储扩容及灾备存储</w:t>
      </w:r>
    </w:p>
    <w:p>
      <w:pPr>
        <w:spacing w:line="560" w:lineRule="exact"/>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lang w:val="en-US" w:eastAsia="zh-CN"/>
        </w:rPr>
        <w:t>需求及</w:t>
      </w:r>
      <w:r>
        <w:rPr>
          <w:rFonts w:hint="eastAsia" w:ascii="方正大标宋简体" w:hAnsi="方正大标宋简体" w:eastAsia="方正大标宋简体" w:cs="方正大标宋简体"/>
          <w:sz w:val="44"/>
          <w:szCs w:val="44"/>
        </w:rPr>
        <w:t>技术方案</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0"/>
        <w:rPr>
          <w:rFonts w:hint="eastAsia" w:ascii="仿宋_GB2312" w:hAnsi="Times New Roman" w:eastAsia="仿宋_GB2312" w:cs="Times New Roman"/>
          <w:sz w:val="32"/>
          <w:szCs w:val="32"/>
          <w:lang w:eastAsia="zh-CN"/>
        </w:rPr>
      </w:pPr>
      <w:bookmarkStart w:id="0" w:name="_Toc60758346"/>
      <w:r>
        <w:rPr>
          <w:rFonts w:hint="eastAsia" w:ascii="黑体" w:hAnsi="黑体" w:eastAsia="黑体" w:cs="黑体"/>
          <w:b/>
          <w:bCs/>
          <w:sz w:val="32"/>
          <w:szCs w:val="32"/>
          <w:lang w:val="en-US" w:eastAsia="zh-CN"/>
        </w:rPr>
        <w:t>一</w:t>
      </w:r>
      <w:r>
        <w:rPr>
          <w:rFonts w:hint="eastAsia" w:ascii="黑体" w:hAnsi="黑体" w:eastAsia="黑体" w:cs="黑体"/>
          <w:b/>
          <w:bCs/>
          <w:sz w:val="32"/>
          <w:szCs w:val="32"/>
        </w:rPr>
        <w:t>、</w:t>
      </w:r>
      <w:bookmarkEnd w:id="0"/>
      <w:r>
        <w:rPr>
          <w:rFonts w:hint="eastAsia" w:ascii="黑体" w:hAnsi="黑体" w:eastAsia="黑体" w:cs="黑体"/>
          <w:b/>
          <w:bCs/>
          <w:sz w:val="32"/>
          <w:szCs w:val="32"/>
        </w:rPr>
        <w:t>项目概况</w:t>
      </w:r>
    </w:p>
    <w:p>
      <w:pPr>
        <w:pStyle w:val="2"/>
        <w:keepNext w:val="0"/>
        <w:keepLines w:val="0"/>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为有效缓解存储空间增长压力，需扩容生产环境2台宏杉双活全闪存存储；同时为满足管理类系统容灾架构，保障业务连续性，采购一台宏杉灾备存储。</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0"/>
        <w:rPr>
          <w:rFonts w:ascii="黑体" w:hAnsi="黑体" w:eastAsia="黑体" w:cs="黑体"/>
          <w:b/>
          <w:bCs/>
          <w:sz w:val="32"/>
          <w:szCs w:val="32"/>
        </w:rPr>
      </w:pP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、项目建设要求</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总体要求</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lang w:eastAsia="zh-CN"/>
        </w:rPr>
        <w:t>本项目所涉及的产品技术服务须由原产品厂商专家技术团队完成。工作包括但不限于总体项目管理、概要方案设计、详细方案设计、设备安装调试、项目归档、验收等工作。</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原产品厂商项目服务团队具有国有银行、全国性股份制银行、省级农信等金融机构</w:t>
      </w:r>
      <w:r>
        <w:rPr>
          <w:rFonts w:hint="eastAsia" w:ascii="仿宋_GB2312" w:hAnsi="Times New Roman" w:eastAsia="仿宋_GB2312" w:cs="Times New Roman"/>
          <w:sz w:val="32"/>
          <w:szCs w:val="32"/>
          <w:lang w:val="en-US" w:eastAsia="zh-CN"/>
        </w:rPr>
        <w:t>国产存储本地双活+灾备异步复制的3DC架构存储</w:t>
      </w:r>
      <w:r>
        <w:rPr>
          <w:rFonts w:hint="eastAsia" w:ascii="仿宋_GB2312" w:hAnsi="Times New Roman" w:eastAsia="仿宋_GB2312" w:cs="Times New Roman"/>
          <w:sz w:val="32"/>
          <w:szCs w:val="32"/>
          <w:lang w:eastAsia="zh-CN"/>
        </w:rPr>
        <w:t>项目实施经验。</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lang w:eastAsia="zh-CN"/>
        </w:rPr>
        <w:t>中标方须做好严格的项目管理流程，做好项目的跟踪和管理</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lang w:eastAsia="zh-CN"/>
        </w:rPr>
        <w:t>并提供招标方认可的规范的项目管理文档等。</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lang w:eastAsia="zh-CN"/>
        </w:rPr>
        <w:t xml:space="preserve">原产品厂商的项目成员须根据招标方的计划安排全职参与项目的建设，在建设过程中，若原产品厂商项目组成员未能达到招标方要求，招标方有权要求中标方更换项目人员。 </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lang w:eastAsia="zh-CN"/>
        </w:rPr>
        <w:t>参与实施的中标方及原产品厂商项目组成员，须严格遵守保密承诺，为招标方的IT基础架构及信息数据保密，避免外泄任何招标人数据资产。</w:t>
      </w:r>
    </w:p>
    <w:p>
      <w:pPr>
        <w:pStyle w:val="14"/>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0"/>
        <w:rPr>
          <w:rFonts w:ascii="黑体" w:hAnsi="黑体" w:eastAsia="黑体" w:cs="黑体"/>
          <w:b/>
          <w:bCs/>
          <w:sz w:val="32"/>
          <w:szCs w:val="32"/>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、维保服务要求</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须提供</w:t>
      </w:r>
      <w:r>
        <w:rPr>
          <w:rFonts w:hint="eastAsia" w:ascii="Times New Roman" w:hAnsi="Times New Roman" w:eastAsia="仿宋_GB2312" w:cs="Times New Roman"/>
          <w:color w:val="auto"/>
          <w:kern w:val="2"/>
          <w:sz w:val="32"/>
          <w:szCs w:val="32"/>
          <w:lang w:val="en-US" w:eastAsia="zh-CN" w:bidi="ar-SA"/>
        </w:rPr>
        <w:t>5年7*24H原厂免费软硬件维保服务</w:t>
      </w:r>
      <w:r>
        <w:rPr>
          <w:rFonts w:hint="eastAsia" w:ascii="仿宋_GB2312" w:hAnsi="Times New Roman" w:eastAsia="仿宋_GB2312" w:cs="Times New Roman"/>
          <w:sz w:val="32"/>
          <w:szCs w:val="32"/>
          <w:lang w:val="en-US" w:eastAsia="zh-CN"/>
        </w:rPr>
        <w:t>，提供原产品厂商售后服务承诺书原件。维保服务期内中标方需免费提供备品备件更换、版本升级、缺陷修复、重保服务支持、定期巡检、设备搬迁割接等服务。</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（一）基本维护服务要求</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定期维护技术支持：不少于每月一次的例行设备巡检，出具设备巡检报告并加盖公章，对巡检过程中出现的问题，中标人需配合整改优化；对设备的硬件、配置、软件系统进行定期维护，监控运行情况，保证设备正常运行。</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重保服务支持：遇国家重大节假日、双十一、重要业务时点、系统迁移期间等，原厂商需向招标人提供重保方案；我社重要业务时点、应急切换演练、系统迁移等，原厂商需按照我社要求制定服务方案，并安排原厂工程师到现场进行技术支持。</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 升级服务：在原厂商提供升级与更新服务基础上，原厂商还需免费提供设备版本、设备缺陷修复、必要的补丁更新、扩容升级等技术支持服务。</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 快速响应服务: 维保设备出现故障不能正常工作时，招标人通过电话、邮件等方式通知后，原厂工程师需在15分钟内电话响应，及时分析和排查问题根源，最大限度减少故障事件对系统正常运作的影响，如果通过电话、远程协助等方式无法使系统恢复正常，需在4小时内安排原厂技术工程师到现场进行故障定位及处置。</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5. 备品备件支持及更换：为保证维保设备故障或损坏后中标人能快速处理，中标人需在本地需提供维保设备原厂商7*24小时备品备件及技术响应服务。</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outlineLvl w:val="1"/>
        <w:rPr>
          <w:rFonts w:hint="eastAsia"/>
          <w:lang w:val="en-US" w:eastAsia="zh-CN"/>
        </w:rPr>
      </w:pPr>
      <w:r>
        <w:rPr>
          <w:rFonts w:hint="eastAsia" w:ascii="仿宋_GB2312" w:hAnsi="Times New Roman" w:eastAsia="仿宋_GB2312" w:cs="Times New Roman"/>
          <w:sz w:val="32"/>
          <w:szCs w:val="32"/>
          <w:lang w:val="en-US" w:eastAsia="zh-CN"/>
        </w:rPr>
        <w:t>6.设备搬迁割接服务：在维保期内，因甲方机房搬迁、设备用途变更等原因，中标人需免费提供搬迁实施方案制定、设备搬迁及迁移割接相关服务。</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（二）高级维保服务要求</w:t>
      </w:r>
      <w:r>
        <w:rPr>
          <w:rFonts w:hint="eastAsia" w:ascii="仿宋_GB2312"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1．需每季度进行客户拜访，了解项目的执行情况及投标人需求动向，保障维保服务期内各项工作的顺利开展。 </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2、建立完整的客户维护服务档案，包括但不限于网络拓扑、设备信息、维护服务记录、升级变更记录、维护服务报告等：每次系统预防性巡检维护服务的报告，并形成巡检报告；每年进行至少一次工作总结,向行领导汇报。 </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 3.提供切实可行的应急方案，包括对现场的故障诊断，应急的解决方案（故障排除的时间等），保障我社信息系统安全、持续、稳健、可靠地运行，有效防范信息科技风险，确保业务连续性。</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硬件服务，包括但不限于系统报错记录分析和故障诊断、现场维修、更换备件、系统板卡、设备的微代码升级、系统检测诊断、定期的预防性维护、系统基本使用的支持及问答、基本技术培训和经验的传授等。</w:t>
      </w:r>
    </w:p>
    <w:p>
      <w:pPr>
        <w:pStyle w:val="14"/>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黑体" w:hAnsi="黑体" w:eastAsia="黑体" w:cs="黑体"/>
          <w:b/>
          <w:bCs/>
          <w:sz w:val="32"/>
          <w:szCs w:val="32"/>
        </w:rPr>
      </w:pPr>
      <w:bookmarkStart w:id="1" w:name="_GoBack"/>
      <w:bookmarkEnd w:id="1"/>
      <w:r>
        <w:rPr>
          <w:rFonts w:hint="eastAsia" w:ascii="黑体" w:hAnsi="黑体" w:eastAsia="黑体" w:cs="黑体"/>
          <w:b/>
          <w:bCs/>
          <w:sz w:val="32"/>
          <w:szCs w:val="32"/>
          <w:lang w:val="en-US" w:eastAsia="zh-CN"/>
        </w:rPr>
        <w:t>四</w:t>
      </w:r>
      <w:r>
        <w:rPr>
          <w:rFonts w:hint="eastAsia" w:ascii="黑体" w:hAnsi="黑体" w:eastAsia="黑体" w:cs="黑体"/>
          <w:b/>
          <w:bCs/>
          <w:sz w:val="32"/>
          <w:szCs w:val="32"/>
        </w:rPr>
        <w:t>、技术规格</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投标产品须满足技术参数中所提技术要求，并对技术参数中所提技术要求逐项应答。</w:t>
      </w:r>
      <w:r>
        <w:rPr>
          <w:rFonts w:hint="eastAsia" w:ascii="Times New Roman" w:hAnsi="Times New Roman" w:eastAsia="仿宋_GB2312" w:cs="Times New Roman"/>
          <w:color w:val="auto"/>
          <w:kern w:val="2"/>
          <w:sz w:val="32"/>
          <w:szCs w:val="32"/>
          <w:lang w:val="en-US" w:eastAsia="zh-CN" w:bidi="ar-SA"/>
        </w:rPr>
        <w:t>若在今后的使用过程中发现任何一条技术参数不符的，</w:t>
      </w:r>
      <w:r>
        <w:rPr>
          <w:rFonts w:hint="eastAsia" w:ascii="仿宋_GB2312" w:hAnsi="Times New Roman" w:eastAsia="仿宋_GB2312" w:cs="Times New Roman"/>
          <w:color w:val="auto"/>
          <w:sz w:val="32"/>
          <w:szCs w:val="32"/>
          <w:lang w:val="en-US" w:eastAsia="zh-CN"/>
        </w:rPr>
        <w:t>我社有权要求退货，并要求无条件退款，厂商应承担由此带来的一切损失。</w:t>
      </w:r>
    </w:p>
    <w:p>
      <w:pPr>
        <w:pStyle w:val="2"/>
        <w:keepNext w:val="0"/>
        <w:keepLines w:val="0"/>
        <w:pageBreakBefore w:val="0"/>
        <w:widowControl w:val="0"/>
        <w:numPr>
          <w:numId w:val="0"/>
        </w:numPr>
        <w:kinsoku/>
        <w:wordWrap/>
        <w:overflowPunct/>
        <w:topLinePunct w:val="0"/>
        <w:autoSpaceDE/>
        <w:autoSpaceDN/>
        <w:bidi w:val="0"/>
        <w:adjustRightInd/>
        <w:snapToGrid/>
        <w:spacing w:before="0" w:after="0" w:line="500" w:lineRule="exact"/>
        <w:ind w:firstLine="643" w:firstLineChars="200"/>
        <w:textAlignment w:val="auto"/>
        <w:rPr>
          <w:rFonts w:hint="eastAsia"/>
          <w:b/>
          <w:bCs/>
          <w:lang w:val="en-US" w:eastAsia="zh-CN"/>
        </w:rPr>
      </w:pPr>
      <w:r>
        <w:rPr>
          <w:rFonts w:hint="eastAsia" w:ascii="仿宋_GB2312" w:hAnsi="Times New Roman" w:eastAsia="仿宋_GB2312" w:cs="Times New Roman"/>
          <w:b/>
          <w:bCs/>
          <w:kern w:val="2"/>
          <w:sz w:val="32"/>
          <w:szCs w:val="32"/>
          <w:lang w:val="en-US" w:eastAsia="zh-CN" w:bidi="ar-SA"/>
        </w:rPr>
        <w:t>设备及服务配置</w:t>
      </w:r>
      <w:r>
        <w:rPr>
          <w:rFonts w:hint="eastAsia" w:ascii="仿宋_GB2312" w:hAnsi="Times New Roman" w:eastAsia="仿宋_GB2312" w:cs="Times New Roman"/>
          <w:b/>
          <w:bCs/>
          <w:kern w:val="2"/>
          <w:sz w:val="32"/>
          <w:szCs w:val="32"/>
          <w:lang w:val="en-US" w:eastAsia="zh-CN" w:bidi="ar-SA"/>
        </w:rPr>
        <w:tab/>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3"/>
        <w:gridCol w:w="697"/>
        <w:gridCol w:w="1522"/>
        <w:gridCol w:w="4591"/>
        <w:gridCol w:w="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宏杉全闪存存储扩容及灾备存储配置清单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2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扩容主要配置描述</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MS7020G2全闪存存储扩容</w:t>
            </w:r>
          </w:p>
        </w:tc>
        <w:tc>
          <w:tcPr>
            <w:tcW w:w="2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1、配置3个磁盘柜、64块7.68TB SAS SSD 磁盘、4块4x48Gb-miniSASHD-IO接口卡，8个25GE-iSCSI接口；（按VRAID6规划方式可用</w:t>
            </w:r>
            <w:r>
              <w:rPr>
                <w:rStyle w:val="19"/>
                <w:color w:val="auto"/>
                <w:lang w:val="en-US" w:eastAsia="zh-CN" w:bidi="ar"/>
              </w:rPr>
              <w:t>≥300TB，其中1块为独立物理热备空间）；</w:t>
            </w:r>
            <w:r>
              <w:rPr>
                <w:rStyle w:val="19"/>
                <w:color w:val="auto"/>
                <w:lang w:val="en-US" w:eastAsia="zh-CN" w:bidi="ar"/>
              </w:rPr>
              <w:br w:type="textWrapping"/>
            </w:r>
            <w:r>
              <w:rPr>
                <w:rStyle w:val="19"/>
                <w:color w:val="auto"/>
                <w:lang w:val="en-US" w:eastAsia="zh-CN" w:bidi="ar"/>
              </w:rPr>
              <w:t>2、配置8根miniSASHD-miniSASHD 1米SAS线缆，4根5米miniSASHD-miniSASHD SAS 线缆，4根25Gb多模光模块SFP28*2 -AOC光纤-20米、16根5M光纤线缆（多模，DLC-DLC）-OM4；</w:t>
            </w:r>
            <w:r>
              <w:rPr>
                <w:rStyle w:val="19"/>
                <w:color w:val="auto"/>
                <w:lang w:val="en-US" w:eastAsia="zh-CN" w:bidi="ar"/>
              </w:rPr>
              <w:br w:type="textWrapping"/>
            </w:r>
            <w:r>
              <w:rPr>
                <w:rStyle w:val="19"/>
                <w:color w:val="auto"/>
                <w:lang w:val="en-US" w:eastAsia="zh-CN" w:bidi="ar"/>
              </w:rPr>
              <w:t>3、服务：</w:t>
            </w:r>
            <w:r>
              <w:rPr>
                <w:rFonts w:hint="eastAsia" w:ascii="宋体" w:hAnsi="宋体" w:eastAsia="宋体" w:cs="宋体"/>
                <w:i w:val="0"/>
                <w:iCs w:val="0"/>
                <w:color w:val="auto"/>
                <w:kern w:val="0"/>
                <w:sz w:val="24"/>
                <w:szCs w:val="24"/>
                <w:u w:val="none"/>
                <w:lang w:val="en-US" w:eastAsia="zh-CN" w:bidi="ar"/>
              </w:rPr>
              <w:t>提供原厂安装服务及与扩容设备维保时间一致的原厂维保服务；</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灾备</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全闪存储MS7020G2-AF-HG</w:t>
            </w:r>
          </w:p>
        </w:tc>
        <w:tc>
          <w:tcPr>
            <w:tcW w:w="2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1、国产CPU多核处理器、高端全闪存、盘控分离架构，控制柜不含硬盘插槽；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2、多控制器架构，配置2控制器，最大可扩展至≥48个SAN控制器，控制器采用Active-Active架构、LUN不归属于某一个控制器，业务负载均衡到所有控制器；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3、系统内总一级缓存容量配置512GB（缓存不包括SSD盘、闪存、NAS机头的内存等)；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4、配置主机通道接口16个16Gbps FC接口、8个10GE iscsi接口；</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5、配置2个磁盘柜、4块960GB SAS SSD，90块3.84TB SAS SSD 磁盘、2块4x48Gb-miniSASHD-IO接口卡（按VRAID6规划方式可用≥212TB，其中2块为独立物理热备空间）；</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6、配置图形化管理软件、性能监控、邮件告警、巡检软件；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7、3套MS7020数据复制软件及配置服务；</w:t>
            </w:r>
            <w:r>
              <w:rPr>
                <w:rStyle w:val="19"/>
                <w:color w:val="auto"/>
                <w:lang w:val="en-US" w:eastAsia="zh-CN" w:bidi="ar"/>
              </w:rPr>
              <w:br w:type="textWrapping"/>
            </w:r>
            <w:r>
              <w:rPr>
                <w:rStyle w:val="19"/>
                <w:color w:val="auto"/>
                <w:lang w:val="en-US" w:eastAsia="zh-CN" w:bidi="ar"/>
              </w:rPr>
              <w:t>8、配置8根miniSASHD-miniSASHD 1米SAS线缆，4根5米miniSASHD-miniSASHD SAS 线缆，24根5M光纤线缆（多模，DLC-DLC）-OM4；</w:t>
            </w:r>
            <w:r>
              <w:rPr>
                <w:rStyle w:val="19"/>
                <w:color w:val="auto"/>
                <w:lang w:val="en-US" w:eastAsia="zh-CN" w:bidi="ar"/>
              </w:rPr>
              <w:br w:type="textWrapping"/>
            </w:r>
            <w:r>
              <w:rPr>
                <w:rStyle w:val="19"/>
                <w:rFonts w:hint="eastAsia"/>
                <w:color w:val="auto"/>
                <w:lang w:val="en-US" w:eastAsia="zh-CN" w:bidi="ar"/>
              </w:rPr>
              <w:t>9</w:t>
            </w:r>
            <w:r>
              <w:rPr>
                <w:rStyle w:val="19"/>
                <w:color w:val="auto"/>
                <w:lang w:val="en-US" w:eastAsia="zh-CN" w:bidi="ar"/>
              </w:rPr>
              <w:t>、服务：提供原厂安装服务及五年原厂维保服务；</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pPr>
        <w:keepNext w:val="0"/>
        <w:keepLines w:val="0"/>
        <w:pageBreakBefore w:val="0"/>
        <w:widowControl w:val="0"/>
        <w:kinsoku/>
        <w:overflowPunct/>
        <w:topLinePunct w:val="0"/>
        <w:autoSpaceDE/>
        <w:autoSpaceDN/>
        <w:bidi w:val="0"/>
        <w:adjustRightInd/>
        <w:snapToGrid/>
        <w:spacing w:line="540" w:lineRule="exact"/>
        <w:jc w:val="center"/>
        <w:textAlignment w:val="auto"/>
        <w:outlineLvl w:val="0"/>
        <w:rPr>
          <w:rFonts w:hint="default" w:ascii="仿宋_GB2312" w:hAnsi="Times New Roman" w:eastAsia="仿宋_GB2312" w:cs="Times New Roman"/>
          <w:color w:val="auto"/>
          <w:sz w:val="32"/>
          <w:szCs w:val="32"/>
          <w:lang w:val="en-US" w:eastAsia="zh-CN"/>
        </w:rPr>
      </w:pP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大标宋简体">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6E"/>
    <w:rsid w:val="00063F05"/>
    <w:rsid w:val="00151950"/>
    <w:rsid w:val="00591F5D"/>
    <w:rsid w:val="005A6D1C"/>
    <w:rsid w:val="006A216E"/>
    <w:rsid w:val="008C659B"/>
    <w:rsid w:val="01523C86"/>
    <w:rsid w:val="03663B2E"/>
    <w:rsid w:val="06E63484"/>
    <w:rsid w:val="0C0B33A5"/>
    <w:rsid w:val="0C631076"/>
    <w:rsid w:val="0E43322C"/>
    <w:rsid w:val="10E0524E"/>
    <w:rsid w:val="149B282C"/>
    <w:rsid w:val="195B6DB3"/>
    <w:rsid w:val="1BEC63B0"/>
    <w:rsid w:val="1EAB62C5"/>
    <w:rsid w:val="1FFB12DB"/>
    <w:rsid w:val="23895819"/>
    <w:rsid w:val="25497DEE"/>
    <w:rsid w:val="25633832"/>
    <w:rsid w:val="25DB4C4F"/>
    <w:rsid w:val="283E0E3A"/>
    <w:rsid w:val="29AC36E5"/>
    <w:rsid w:val="2A8207D1"/>
    <w:rsid w:val="2C4A7CBC"/>
    <w:rsid w:val="2CF81A89"/>
    <w:rsid w:val="351C3410"/>
    <w:rsid w:val="394B63D9"/>
    <w:rsid w:val="39736224"/>
    <w:rsid w:val="3A101DFC"/>
    <w:rsid w:val="3E137282"/>
    <w:rsid w:val="3FBE128A"/>
    <w:rsid w:val="442A17AF"/>
    <w:rsid w:val="4883203A"/>
    <w:rsid w:val="4B671DAA"/>
    <w:rsid w:val="4D940C1B"/>
    <w:rsid w:val="4EA316C2"/>
    <w:rsid w:val="4EE66ED2"/>
    <w:rsid w:val="4FDB494F"/>
    <w:rsid w:val="509D35B4"/>
    <w:rsid w:val="528D1E2B"/>
    <w:rsid w:val="529B118A"/>
    <w:rsid w:val="58B113AC"/>
    <w:rsid w:val="5A8F3907"/>
    <w:rsid w:val="6ABE4A35"/>
    <w:rsid w:val="6DFC69CF"/>
    <w:rsid w:val="7039610C"/>
    <w:rsid w:val="71995581"/>
    <w:rsid w:val="749014EB"/>
    <w:rsid w:val="77E978FA"/>
    <w:rsid w:val="782E1686"/>
    <w:rsid w:val="78FD5E9F"/>
    <w:rsid w:val="792869A1"/>
    <w:rsid w:val="7A850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1"/>
    <w:qFormat/>
    <w:uiPriority w:val="99"/>
    <w:pPr>
      <w:autoSpaceDE w:val="0"/>
      <w:autoSpaceDN w:val="0"/>
      <w:adjustRightInd w:val="0"/>
      <w:outlineLvl w:val="0"/>
    </w:pPr>
    <w:rPr>
      <w:rFonts w:ascii="Arial" w:hAnsi="Arial" w:cs="Arial"/>
      <w:b/>
      <w:bCs/>
      <w:sz w:val="22"/>
      <w:szCs w:val="22"/>
      <w:lang w:val="zh-CN"/>
    </w:rPr>
  </w:style>
  <w:style w:type="paragraph" w:styleId="4">
    <w:name w:val="heading 3"/>
    <w:basedOn w:val="1"/>
    <w:next w:val="1"/>
    <w:link w:val="12"/>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PwC Normal"/>
    <w:basedOn w:val="1"/>
    <w:qFormat/>
    <w:uiPriority w:val="99"/>
    <w:pPr>
      <w:spacing w:before="180" w:after="180" w:line="240" w:lineRule="atLeast"/>
    </w:pPr>
  </w:style>
  <w:style w:type="paragraph" w:styleId="5">
    <w:name w:val="annotation text"/>
    <w:basedOn w:val="1"/>
    <w:link w:val="16"/>
    <w:semiHidden/>
    <w:unhideWhenUsed/>
    <w:qFormat/>
    <w:uiPriority w:val="99"/>
    <w:pPr>
      <w:jc w:val="left"/>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annotation subject"/>
    <w:basedOn w:val="5"/>
    <w:next w:val="5"/>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Heading 1 Char"/>
    <w:basedOn w:val="9"/>
    <w:link w:val="3"/>
    <w:qFormat/>
    <w:uiPriority w:val="99"/>
    <w:rPr>
      <w:rFonts w:ascii="Arial" w:hAnsi="Arial" w:cs="Arial"/>
      <w:b/>
      <w:bCs/>
      <w:sz w:val="22"/>
      <w:szCs w:val="22"/>
      <w:lang w:val="zh-CN"/>
    </w:rPr>
  </w:style>
  <w:style w:type="character" w:customStyle="1" w:styleId="12">
    <w:name w:val="Heading 3 Char"/>
    <w:basedOn w:val="9"/>
    <w:link w:val="4"/>
    <w:qFormat/>
    <w:uiPriority w:val="0"/>
    <w:rPr>
      <w:b/>
      <w:bCs/>
      <w:sz w:val="32"/>
      <w:szCs w:val="32"/>
    </w:rPr>
  </w:style>
  <w:style w:type="character" w:customStyle="1" w:styleId="13">
    <w:name w:val="Footer Char"/>
    <w:basedOn w:val="9"/>
    <w:link w:val="6"/>
    <w:qFormat/>
    <w:uiPriority w:val="99"/>
    <w:rPr>
      <w:sz w:val="18"/>
      <w:szCs w:val="18"/>
    </w:rPr>
  </w:style>
  <w:style w:type="paragraph" w:styleId="14">
    <w:name w:val="List Paragraph"/>
    <w:basedOn w:val="1"/>
    <w:qFormat/>
    <w:uiPriority w:val="34"/>
    <w:pPr>
      <w:ind w:firstLine="420"/>
    </w:pPr>
    <w:rPr>
      <w:szCs w:val="22"/>
    </w:rPr>
  </w:style>
  <w:style w:type="paragraph" w:customStyle="1" w:styleId="15">
    <w:name w:val="无间隔1"/>
    <w:qFormat/>
    <w:uiPriority w:val="0"/>
    <w:pPr>
      <w:widowControl w:val="0"/>
      <w:jc w:val="both"/>
    </w:pPr>
    <w:rPr>
      <w:rFonts w:ascii="Calibri" w:hAnsi="Calibri" w:eastAsia="宋体" w:cs="黑体"/>
      <w:kern w:val="2"/>
      <w:sz w:val="21"/>
      <w:szCs w:val="22"/>
      <w:lang w:val="en-US" w:eastAsia="zh-CN" w:bidi="ar-SA"/>
    </w:rPr>
  </w:style>
  <w:style w:type="character" w:customStyle="1" w:styleId="16">
    <w:name w:val="Comment Text Char"/>
    <w:basedOn w:val="9"/>
    <w:link w:val="5"/>
    <w:semiHidden/>
    <w:qFormat/>
    <w:uiPriority w:val="99"/>
  </w:style>
  <w:style w:type="character" w:customStyle="1" w:styleId="17">
    <w:name w:val="Comment Subject Char"/>
    <w:basedOn w:val="16"/>
    <w:link w:val="7"/>
    <w:semiHidden/>
    <w:qFormat/>
    <w:uiPriority w:val="99"/>
    <w:rPr>
      <w:b/>
      <w:bCs/>
    </w:rPr>
  </w:style>
  <w:style w:type="paragraph" w:customStyle="1" w:styleId="18">
    <w:name w:val="No Spacing"/>
    <w:qFormat/>
    <w:uiPriority w:val="0"/>
    <w:pPr>
      <w:widowControl w:val="0"/>
      <w:jc w:val="both"/>
    </w:pPr>
    <w:rPr>
      <w:rFonts w:ascii="Calibri" w:hAnsi="Calibri" w:eastAsia="宋体" w:cs="黑体"/>
      <w:kern w:val="2"/>
      <w:sz w:val="21"/>
      <w:szCs w:val="22"/>
      <w:lang w:val="en-US" w:eastAsia="zh-CN" w:bidi="ar-SA"/>
    </w:rPr>
  </w:style>
  <w:style w:type="character" w:customStyle="1" w:styleId="19">
    <w:name w:val="font2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448</Words>
  <Characters>2555</Characters>
  <Lines>21</Lines>
  <Paragraphs>5</Paragraphs>
  <TotalTime>8</TotalTime>
  <ScaleCrop>false</ScaleCrop>
  <LinksUpToDate>false</LinksUpToDate>
  <CharactersWithSpaces>2998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2023-04-18T02:37:00Z</dcterms:created>
  <dc:creator>Jia Wei Zhang1</dc:creator>
  <cp:lastModifiedBy>100256-代文林</cp:lastModifiedBy>
  <dcterms:modified xsi:type="dcterms:W3CDTF">2024-05-22T07:45:27Z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