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left="0" w:leftChars="0" w:firstLine="0" w:firstLineChars="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en-US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en-US"/>
        </w:rPr>
        <w:t>附件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en-US"/>
        </w:rPr>
        <w:t>3</w:t>
      </w:r>
    </w:p>
    <w:p>
      <w:pPr>
        <w:widowControl/>
        <w:spacing w:line="560" w:lineRule="exact"/>
        <w:ind w:firstLine="471" w:firstLineChars="0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eastAsia="zh-CN" w:bidi="en-US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  <w:lang w:val="en-US" w:eastAsia="zh-CN" w:bidi="en-US"/>
        </w:rPr>
        <w:t>HDS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en-US"/>
        </w:rPr>
        <w:t>维保服务需求及技术要求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71" w:firstLineChars="0"/>
        <w:textAlignment w:val="auto"/>
        <w:outlineLvl w:val="0"/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  <w:lang w:eastAsia="zh-CN" w:bidi="en-US"/>
        </w:rPr>
      </w:pPr>
      <w:bookmarkStart w:id="0" w:name="_Toc511223300"/>
      <w:bookmarkStart w:id="1" w:name="_Toc525892017"/>
      <w:r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  <w:lang w:val="en-US" w:eastAsia="zh-CN" w:bidi="en-US"/>
        </w:rPr>
        <w:t>一</w:t>
      </w:r>
      <w:r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  <w:lang w:eastAsia="zh-CN" w:bidi="en-US"/>
        </w:rPr>
        <w:t>、项目概况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本次续保共涉及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en-US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8台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en-US"/>
        </w:rPr>
        <w:t>HDS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设备,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en-US"/>
        </w:rPr>
        <w:t>主要用于我社黔农云、国库集中支付等重要业务系统。其中生产环境7台，灾备环境6台，开发测试环境5台。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所有设备维保截止日期为202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en-US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en-US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月3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en-US"/>
        </w:rPr>
        <w:t>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日，维保期间，由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en-US"/>
        </w:rPr>
        <w:t>HDS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设备原厂商提供服务，所有更换配件为原厂全新产品。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71" w:firstLineChars="0"/>
        <w:textAlignment w:val="auto"/>
        <w:outlineLvl w:val="0"/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  <w:lang w:eastAsia="zh-CN" w:bidi="en-US"/>
        </w:rPr>
      </w:pPr>
      <w:r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  <w:lang w:val="en-US" w:eastAsia="zh-CN" w:bidi="en-US"/>
        </w:rPr>
        <w:t>二、</w:t>
      </w:r>
      <w:r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  <w:lang w:eastAsia="zh-CN" w:bidi="en-US"/>
        </w:rPr>
        <w:t>货物/服务须满足的规范、标准</w:t>
      </w:r>
      <w:bookmarkStart w:id="2" w:name="_Toc406671679"/>
      <w:bookmarkStart w:id="3" w:name="_Toc406671091"/>
      <w:bookmarkStart w:id="4" w:name="_Toc406672384"/>
      <w:bookmarkStart w:id="5" w:name="_Toc40667072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（一）基本要求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1.维保时间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本次维保服务购买时间自设备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en-US"/>
        </w:rPr>
        <w:t>到保次日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至202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en-US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年12月31日止。维护地点为我社指定地点。提供本项目实施策略、工程实施计划、人员安排、项目实施流程、培训计划等工程实施方案。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2.售后服务及其它要求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（1）提供原厂商售后服务承诺书（原件加盖鲜章）。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（2）提供技术支持服务确保项目的完成。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（3）提供切实可行的应急方案，包括对现场的故障诊断，应急的解决方案（故障排除的时间等），保障我社信息系统安全、持续、稳健、可靠地运行，有效防范信息科技风险，确保业务连续性。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（4）提供服务级别内15分钟电话响应，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en-US"/>
        </w:rPr>
        <w:t>HDS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原厂工程师需在接到报修后4小时内到达现场。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（5）遇国家重大节假日及重大保障时点，以及我社重要业务时点、应急切换演练、系统迁移等，原厂商需按照我社要求制定服务方案，并安排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en-US"/>
        </w:rPr>
        <w:t>HDS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原厂工程师到现场进行技术支持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en-US"/>
        </w:rPr>
        <w:t>及实施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（6）原厂商若发现与我社维保设备相关的重大缺陷，或者正式发布与我社维保设备相关的微码及补丁，应及时与我社联系，协商处置及升级等相关事宜，切实保障我社设备安全稳定运行。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（二）服务要求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1.快速服务响应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（1）对于我社的故障事件，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en-US"/>
        </w:rPr>
        <w:t>HDS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原厂工程师需在15分钟内电话响应，及时分析和排查问题根源，最大限度减少故障事件对系统正常运作的影响。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（2）若出现严重性故障，影响业务正常运行，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en-US"/>
        </w:rPr>
        <w:t>HDS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原厂工程师需提供电话实时响应，并根据需要及时（原则上不超过4小时）赶赴现场分析排查，解决问题。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（3）对于暂时不影响业务正常运转的故障，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en-US"/>
        </w:rPr>
        <w:t>HDS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原厂工程师应同我社协商到场时间，并快速落实所需配件等必要基础条件，尽快修复系统，原则上在1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en-US"/>
        </w:rPr>
        <w:t>-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3天内解决。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（4）对于我社有新业务系统上线需使用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en-US"/>
        </w:rPr>
        <w:t>HDS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设备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en-US"/>
        </w:rPr>
        <w:t>或调整设备用途的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en-US"/>
        </w:rPr>
        <w:t>HDS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原厂工程师1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en-US"/>
        </w:rPr>
        <w:t>-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2天内到达现场，做好方案规划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en-US"/>
        </w:rPr>
        <w:t>及实施工作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，直至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en-US"/>
        </w:rPr>
        <w:t>设备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稳定运行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en-US"/>
        </w:rPr>
        <w:t>或调整完毕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2.快速修复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（1）对于硬件设备，会引起关键性故障的备件，包括控制器、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en-US"/>
        </w:rPr>
        <w:t>CPU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en-US"/>
        </w:rPr>
        <w:t>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，一旦机器出现故障，应力争迅速恢复正常业务运作。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（2）对于软件问题，确保双机热备份软件工作正常，并为此进行巡检演练，对系统备份和数据备份，与我社一起建立规范流程，以备不时之需。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3.使系统达到高可用性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对我社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en-US"/>
        </w:rPr>
        <w:t>HDS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设备进行定期的预防性维护，每个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en-US"/>
        </w:rPr>
        <w:t>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及重要节假日等时点进行一次预防性巡检维护检查和客户拜访，了解我社最新动向，排除故障隐患。每季度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en-US"/>
        </w:rPr>
        <w:t>HDS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经理至少进行一次客户访问，每年进行至少一次工作总结,向行领导汇报。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4.建立详尽客户维护服务档案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 xml:space="preserve">为我社所有设备建立完整的客户维护服务档案，包括但不限于以下内容：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（1）系统设备的配置信息、网络拓扑、数据库、应用程序信息等；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（2）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en-US"/>
        </w:rPr>
        <w:t>HDS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及我社有关服务信息、联系人、联系电话等；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（3）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en-US"/>
        </w:rPr>
        <w:t>HDS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原厂工程师每次维修、维护服务记录。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（4）每次系统预防性巡检维护服务的报告，并形成巡检报告。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（5）系统升级、变更的跟踪记录。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（6）客户报告、会议记要等。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5、硬件服务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（1）系统出错记录分析和故障诊断。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（2）现场维修，更换备件。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（3）系统板卡，设备的微代码升级。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（4）系统检测诊断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en-US"/>
        </w:rPr>
        <w:t>(Diagnostic Online/Offline)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（5）定期的预防性维护。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（6）提供设备维护、维修记录和报告。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（7）系统基本使用的支持，问答。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（8）基本技术培训和经验的传授。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 xml:space="preserve">6.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en-US"/>
        </w:rPr>
        <w:t>HDS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 xml:space="preserve">原厂增值服务 </w:t>
      </w:r>
    </w:p>
    <w:bookmarkEnd w:id="2"/>
    <w:bookmarkEnd w:id="3"/>
    <w:bookmarkEnd w:id="4"/>
    <w:bookmarkEnd w:id="5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</w:pPr>
      <w:bookmarkStart w:id="6" w:name="_Toc406670721"/>
      <w:bookmarkStart w:id="7" w:name="_Toc406671092"/>
      <w:bookmarkStart w:id="8" w:name="_Toc406671680"/>
      <w:bookmarkStart w:id="9" w:name="_Toc406672385"/>
      <w:bookmarkStart w:id="10" w:name="_Toc96008559"/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en-US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）提供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en-US"/>
        </w:rPr>
        <w:t>15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人天原厂专家现场技术支持。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en-US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）提供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en-US"/>
        </w:rPr>
        <w:t>18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次原厂工程师现场巡检服务，并形成巡检报告。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en-US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）提供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en-US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en-US"/>
        </w:rPr>
        <w:t>次原厂工程师性能分析服务，并形成性能分析报告。</w:t>
      </w:r>
      <w:bookmarkEnd w:id="6"/>
      <w:bookmarkEnd w:id="7"/>
      <w:bookmarkEnd w:id="8"/>
      <w:bookmarkEnd w:id="9"/>
      <w:bookmarkEnd w:id="1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HDS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续保设备清单</w:t>
      </w:r>
    </w:p>
    <w:tbl>
      <w:tblPr>
        <w:tblStyle w:val="8"/>
        <w:tblW w:w="5336" w:type="pct"/>
        <w:tblInd w:w="-2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325"/>
        <w:gridCol w:w="1184"/>
        <w:gridCol w:w="1325"/>
        <w:gridCol w:w="1521"/>
        <w:gridCol w:w="1510"/>
        <w:gridCol w:w="15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序列号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维保起始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维保结束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部署环境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维保服务级别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Brocade 6510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BRW4050N04P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2024/07/01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2025/12/31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准生产及测试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 xml:space="preserve"> 软硬件5*8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Brocade 6510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BRW4050N04W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2024/07/01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2025/12/31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准生产及测试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 xml:space="preserve"> 软硬件5*8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VSP G400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413591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2024/07/01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2025/12/31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准生产及测试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 xml:space="preserve"> 软硬件5*8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VSP G400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413589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2024/07/01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2025/12/31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准生产及测试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 xml:space="preserve"> 软硬件5*8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VSP G800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413556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2024/07/01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2025/12/31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准生产及测试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 xml:space="preserve"> 软硬件5*8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Brocade 6520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CHQ4048N012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2024/07/01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2025/12/31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灾备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 xml:space="preserve"> 软硬件5*8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Brocade 6520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CHQ4050N010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2024/07/01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2025/12/31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灾备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 xml:space="preserve"> 软硬件5*8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Brocade 8510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ANN4050N011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2024/07/01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2025/12/31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灾备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 xml:space="preserve"> 软硬件5*8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Brocade 8510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ANN4050N00Z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2024/07/01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2025/12/31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灾备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 xml:space="preserve"> 软硬件5*8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VSP G800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413554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2024/07/01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2025/12/31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灾备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 xml:space="preserve"> 软硬件5*8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11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VSP G800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413561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2024/07/01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2025/12/31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灾备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 xml:space="preserve"> 软硬件5*8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12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VSP G900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415133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2024/07/01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2025/12/31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生产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 xml:space="preserve"> 软硬件7*24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13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VSP G350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426414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2024/07/01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2025/12/31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生产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 xml:space="preserve"> 软硬件7*24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14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VSP G350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426341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2024/07/01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2025/12/31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生产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 xml:space="preserve"> 软硬件7*24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VSP G350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426882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2024/07/01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2025/12/31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生产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 xml:space="preserve"> 软硬件7*24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16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VSP G350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426883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2024/07/01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2025/12/31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生产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 xml:space="preserve"> 软硬件7*24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17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VSP G200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427025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2024/07/01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2025/12/31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生产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 xml:space="preserve"> 软硬件7*24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18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VSP G800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413639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2024/07/01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2025/12/31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生产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 xml:space="preserve"> 软硬件7*24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19</w:t>
            </w:r>
          </w:p>
        </w:tc>
        <w:tc>
          <w:tcPr>
            <w:tcW w:w="463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15人天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HDS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原厂高级工程师服务（服务包括但不限于以下内容：HDS存储深度优化、存储容灾复制配置、专家培训等。）</w:t>
            </w:r>
          </w:p>
        </w:tc>
      </w:tr>
      <w:bookmarkEnd w:id="0"/>
      <w:bookmarkEnd w:id="1"/>
    </w:tbl>
    <w:p>
      <w:pPr>
        <w:ind w:left="0" w:leftChars="0" w:firstLine="0" w:firstLineChars="0"/>
        <w:rPr>
          <w:rFonts w:hint="default" w:ascii="Times New Roman" w:hAnsi="Times New Roman" w:cs="Times New Roman"/>
        </w:rPr>
      </w:pPr>
      <w:bookmarkStart w:id="11" w:name="_GoBack"/>
      <w:bookmarkEnd w:id="11"/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C8377A"/>
    <w:multiLevelType w:val="multilevel"/>
    <w:tmpl w:val="54C8377A"/>
    <w:lvl w:ilvl="0" w:tentative="0">
      <w:start w:val="1"/>
      <w:numFmt w:val="chineseCountingThousand"/>
      <w:pStyle w:val="3"/>
      <w:suff w:val="space"/>
      <w:lvlText w:val="第%1章"/>
      <w:lvlJc w:val="left"/>
      <w:pPr>
        <w:ind w:left="432" w:hanging="432"/>
      </w:pPr>
      <w:rPr>
        <w:rFonts w:hint="eastAsia"/>
        <w:lang w:val="en-US"/>
      </w:rPr>
    </w:lvl>
    <w:lvl w:ilvl="1" w:tentative="0">
      <w:start w:val="1"/>
      <w:numFmt w:val="chineseCountingThousand"/>
      <w:pStyle w:val="4"/>
      <w:suff w:val="nothing"/>
      <w:lvlText w:val="%2、"/>
      <w:lvlJc w:val="left"/>
      <w:pPr>
        <w:ind w:left="1853" w:hanging="576"/>
      </w:pPr>
      <w:rPr>
        <w:rFonts w:hint="eastAsia"/>
      </w:rPr>
    </w:lvl>
    <w:lvl w:ilvl="2" w:tentative="0">
      <w:start w:val="1"/>
      <w:numFmt w:val="decimal"/>
      <w:isLgl/>
      <w:suff w:val="space"/>
      <w:lvlText w:val="%2.%3"/>
      <w:lvlJc w:val="left"/>
      <w:pPr>
        <w:ind w:left="862" w:hanging="720"/>
      </w:pPr>
      <w:rPr>
        <w:rFonts w:hint="eastAsia"/>
      </w:rPr>
    </w:lvl>
    <w:lvl w:ilvl="3" w:tentative="0">
      <w:start w:val="1"/>
      <w:numFmt w:val="decimal"/>
      <w:isLgl/>
      <w:suff w:val="space"/>
      <w:lvlText w:val="%2.%3.%4"/>
      <w:lvlJc w:val="left"/>
      <w:pPr>
        <w:ind w:left="7527" w:hanging="864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A7C2B"/>
    <w:rsid w:val="022B62F4"/>
    <w:rsid w:val="06033B27"/>
    <w:rsid w:val="06343FEC"/>
    <w:rsid w:val="06A51A92"/>
    <w:rsid w:val="0846128D"/>
    <w:rsid w:val="0A307268"/>
    <w:rsid w:val="0CC24F22"/>
    <w:rsid w:val="0E476832"/>
    <w:rsid w:val="0FE3316E"/>
    <w:rsid w:val="100E7505"/>
    <w:rsid w:val="119E63BD"/>
    <w:rsid w:val="11A43F1D"/>
    <w:rsid w:val="138E4282"/>
    <w:rsid w:val="13E62D4F"/>
    <w:rsid w:val="145B3E56"/>
    <w:rsid w:val="14BC2822"/>
    <w:rsid w:val="172C2595"/>
    <w:rsid w:val="18220E0D"/>
    <w:rsid w:val="188C4FB8"/>
    <w:rsid w:val="194525FD"/>
    <w:rsid w:val="1B130738"/>
    <w:rsid w:val="1F571B09"/>
    <w:rsid w:val="22DE33B5"/>
    <w:rsid w:val="26751F6D"/>
    <w:rsid w:val="26C2734F"/>
    <w:rsid w:val="280573F6"/>
    <w:rsid w:val="280F14FF"/>
    <w:rsid w:val="2B0A38F9"/>
    <w:rsid w:val="2B355AC0"/>
    <w:rsid w:val="2CB47E12"/>
    <w:rsid w:val="2D26728B"/>
    <w:rsid w:val="34125AE1"/>
    <w:rsid w:val="34B308E6"/>
    <w:rsid w:val="34FB7183"/>
    <w:rsid w:val="34FE3EB7"/>
    <w:rsid w:val="369C33FA"/>
    <w:rsid w:val="37160BAB"/>
    <w:rsid w:val="38C760E2"/>
    <w:rsid w:val="3A9C2C07"/>
    <w:rsid w:val="3B864109"/>
    <w:rsid w:val="3E2E5323"/>
    <w:rsid w:val="3E74575B"/>
    <w:rsid w:val="40805EF6"/>
    <w:rsid w:val="42693582"/>
    <w:rsid w:val="441D2F2A"/>
    <w:rsid w:val="44292302"/>
    <w:rsid w:val="445F13EB"/>
    <w:rsid w:val="45AF2112"/>
    <w:rsid w:val="46EC4027"/>
    <w:rsid w:val="49053E6F"/>
    <w:rsid w:val="49AF0104"/>
    <w:rsid w:val="4E2A2B1E"/>
    <w:rsid w:val="4ED92202"/>
    <w:rsid w:val="50614FA2"/>
    <w:rsid w:val="508B0BFD"/>
    <w:rsid w:val="540200AA"/>
    <w:rsid w:val="54B940FD"/>
    <w:rsid w:val="55D00313"/>
    <w:rsid w:val="562C4510"/>
    <w:rsid w:val="57496C94"/>
    <w:rsid w:val="575E23C7"/>
    <w:rsid w:val="580948CE"/>
    <w:rsid w:val="5BEF6BCF"/>
    <w:rsid w:val="5D0D190A"/>
    <w:rsid w:val="5F310470"/>
    <w:rsid w:val="5F74729B"/>
    <w:rsid w:val="60500AD5"/>
    <w:rsid w:val="605A4935"/>
    <w:rsid w:val="62583D9A"/>
    <w:rsid w:val="62E20748"/>
    <w:rsid w:val="632A7C2B"/>
    <w:rsid w:val="6347794C"/>
    <w:rsid w:val="63BE3F71"/>
    <w:rsid w:val="6512474F"/>
    <w:rsid w:val="655F70CB"/>
    <w:rsid w:val="65FD132C"/>
    <w:rsid w:val="67BF2878"/>
    <w:rsid w:val="69261DA2"/>
    <w:rsid w:val="6A2227BA"/>
    <w:rsid w:val="70FA7736"/>
    <w:rsid w:val="74D0709A"/>
    <w:rsid w:val="76E21729"/>
    <w:rsid w:val="775003F3"/>
    <w:rsid w:val="781E79C2"/>
    <w:rsid w:val="790451ED"/>
    <w:rsid w:val="791318D3"/>
    <w:rsid w:val="7A0B2342"/>
    <w:rsid w:val="7A231E3B"/>
    <w:rsid w:val="7B716EA7"/>
    <w:rsid w:val="7C7D4857"/>
    <w:rsid w:val="7DF571F6"/>
    <w:rsid w:val="7EFE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paragraph" w:styleId="3">
    <w:name w:val="heading 1"/>
    <w:next w:val="1"/>
    <w:qFormat/>
    <w:uiPriority w:val="9"/>
    <w:pPr>
      <w:keepNext/>
      <w:keepLines/>
      <w:numPr>
        <w:ilvl w:val="0"/>
        <w:numId w:val="1"/>
      </w:numPr>
      <w:spacing w:line="360" w:lineRule="auto"/>
      <w:ind w:left="0" w:firstLine="0"/>
      <w:jc w:val="center"/>
      <w:outlineLvl w:val="0"/>
    </w:pPr>
    <w:rPr>
      <w:rFonts w:ascii="黑体" w:hAnsi="黑体" w:eastAsia="黑体" w:cs="Times New Roman"/>
      <w:bCs/>
      <w:kern w:val="44"/>
      <w:sz w:val="32"/>
      <w:szCs w:val="32"/>
      <w:lang w:val="en-US" w:eastAsia="zh-CN" w:bidi="ar-SA"/>
    </w:rPr>
  </w:style>
  <w:style w:type="paragraph" w:styleId="4">
    <w:name w:val="heading 2"/>
    <w:next w:val="1"/>
    <w:qFormat/>
    <w:uiPriority w:val="9"/>
    <w:pPr>
      <w:keepNext/>
      <w:keepLines/>
      <w:numPr>
        <w:ilvl w:val="1"/>
        <w:numId w:val="1"/>
      </w:numPr>
      <w:spacing w:line="360" w:lineRule="auto"/>
      <w:outlineLvl w:val="1"/>
    </w:pPr>
    <w:rPr>
      <w:rFonts w:ascii="黑体" w:hAnsi="黑体" w:eastAsia="黑体" w:cs="Times New Roman"/>
      <w:bCs/>
      <w:kern w:val="2"/>
      <w:sz w:val="24"/>
      <w:szCs w:val="24"/>
      <w:lang w:val="en-US" w:eastAsia="zh-CN" w:bidi="ar-SA"/>
    </w:rPr>
  </w:style>
  <w:style w:type="paragraph" w:styleId="5">
    <w:name w:val="heading 4"/>
    <w:next w:val="1"/>
    <w:qFormat/>
    <w:uiPriority w:val="9"/>
    <w:pPr>
      <w:spacing w:line="360" w:lineRule="auto"/>
      <w:ind w:firstLine="480" w:firstLineChars="200"/>
      <w:outlineLvl w:val="3"/>
    </w:pPr>
    <w:rPr>
      <w:rFonts w:ascii="宋体" w:hAnsi="宋体" w:eastAsia="宋体" w:cs="Times New Roman"/>
      <w:bCs/>
      <w:kern w:val="2"/>
      <w:sz w:val="24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99"/>
    <w:pPr>
      <w:spacing w:before="180" w:after="180" w:line="240" w:lineRule="atLeas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2022-01-13T03:01:00Z</dcterms:created>
  <dc:creator>Administrator</dc:creator>
  <cp:lastModifiedBy>100256-代文林</cp:lastModifiedBy>
  <cp:lastPrinted>2022-01-17T01:58:00Z</cp:lastPrinted>
  <dcterms:modified xsi:type="dcterms:W3CDTF">2024-05-14T02:59:40Z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