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r>
        <w:rPr>
          <w:rFonts w:hint="eastAsia" w:ascii="仿宋_GB2312" w:eastAsia="仿宋_GB2312"/>
          <w:b/>
          <w:bCs/>
          <w:sz w:val="32"/>
          <w:szCs w:val="32"/>
        </w:rPr>
        <w:t>网络安全态势感知平台三期</w:t>
      </w:r>
      <w:r>
        <w:rPr>
          <w:rFonts w:hint="eastAsia" w:ascii="仿宋_GB2312" w:eastAsia="仿宋_GB2312"/>
          <w:b/>
          <w:bCs/>
          <w:sz w:val="32"/>
          <w:szCs w:val="32"/>
          <w:lang w:eastAsia="zh-CN"/>
        </w:rPr>
        <w:t>采购清单</w:t>
      </w:r>
    </w:p>
    <w:p>
      <w:pPr>
        <w:pStyle w:val="5"/>
        <w:pageBreakBefore w:val="0"/>
        <w:widowControl w:val="0"/>
        <w:numPr>
          <w:ilvl w:val="0"/>
          <w:numId w:val="0"/>
        </w:numPr>
        <w:kinsoku/>
        <w:wordWrap/>
        <w:overflowPunct/>
        <w:topLinePunct w:val="0"/>
        <w:autoSpaceDE/>
        <w:autoSpaceDN/>
        <w:bidi w:val="0"/>
        <w:adjustRightInd/>
        <w:snapToGrid/>
        <w:spacing w:before="0" w:after="0" w:line="560" w:lineRule="exact"/>
        <w:textAlignment w:val="auto"/>
        <w:outlineLvl w:val="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1.网络安全态势感知平台（安恒）扩容采购清单</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54"/>
        <w:gridCol w:w="4882"/>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6" w:type="pct"/>
            <w:noWrap/>
            <w:vAlign w:val="center"/>
          </w:tcPr>
          <w:p>
            <w:pPr>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000000"/>
                <w:sz w:val="24"/>
              </w:rPr>
            </w:pPr>
            <w:bookmarkStart w:id="0" w:name="_Toc824"/>
            <w:r>
              <w:rPr>
                <w:rFonts w:hint="eastAsia" w:ascii="仿宋" w:hAnsi="仿宋" w:eastAsia="仿宋" w:cs="仿宋"/>
                <w:b/>
                <w:bCs/>
                <w:color w:val="000000"/>
                <w:kern w:val="0"/>
                <w:sz w:val="24"/>
                <w:lang w:bidi="ar"/>
              </w:rPr>
              <w:t>序号</w:t>
            </w:r>
          </w:p>
        </w:tc>
        <w:tc>
          <w:tcPr>
            <w:tcW w:w="1264" w:type="pct"/>
            <w:noWrap/>
            <w:vAlign w:val="center"/>
          </w:tcPr>
          <w:p>
            <w:pPr>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模块</w:t>
            </w:r>
          </w:p>
        </w:tc>
        <w:tc>
          <w:tcPr>
            <w:tcW w:w="2865" w:type="pct"/>
            <w:noWrap w:val="0"/>
            <w:vAlign w:val="center"/>
          </w:tcPr>
          <w:p>
            <w:pPr>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参数描述</w:t>
            </w:r>
          </w:p>
        </w:tc>
        <w:tc>
          <w:tcPr>
            <w:tcW w:w="423" w:type="pct"/>
            <w:noWrap w:val="0"/>
            <w:vAlign w:val="center"/>
          </w:tcPr>
          <w:p>
            <w:pPr>
              <w:pageBreakBefore w:val="0"/>
              <w:widowControl/>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46" w:type="pct"/>
            <w:noWrap/>
            <w:vAlign w:val="center"/>
          </w:tcPr>
          <w:p>
            <w:pPr>
              <w:widowControl/>
              <w:spacing w:line="240" w:lineRule="auto"/>
              <w:ind w:firstLine="0" w:firstLineChars="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264" w:type="pct"/>
            <w:noWrap/>
            <w:vAlign w:val="center"/>
          </w:tcPr>
          <w:p>
            <w:pPr>
              <w:widowControl/>
              <w:spacing w:line="240" w:lineRule="auto"/>
              <w:ind w:firstLine="0" w:firstLineChars="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数据分析节点扩容</w:t>
            </w:r>
          </w:p>
        </w:tc>
        <w:tc>
          <w:tcPr>
            <w:tcW w:w="2865"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新增</w:t>
            </w:r>
            <w:r>
              <w:rPr>
                <w:rFonts w:hint="eastAsia" w:ascii="仿宋" w:hAnsi="仿宋" w:eastAsia="仿宋" w:cs="仿宋"/>
                <w:color w:val="000000"/>
                <w:sz w:val="24"/>
                <w:lang w:val="en-US" w:eastAsia="zh-CN"/>
              </w:rPr>
              <w:t>态势感知平台数据分析节点2个。</w:t>
            </w:r>
          </w:p>
        </w:tc>
        <w:tc>
          <w:tcPr>
            <w:tcW w:w="423" w:type="pct"/>
            <w:noWrap w:val="0"/>
            <w:vAlign w:val="center"/>
          </w:tcPr>
          <w:p>
            <w:pPr>
              <w:widowControl/>
              <w:spacing w:line="240" w:lineRule="auto"/>
              <w:ind w:firstLine="0" w:firstLineChars="0"/>
              <w:jc w:val="left"/>
              <w:textAlignment w:val="center"/>
              <w:rPr>
                <w:rFonts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446" w:type="pct"/>
            <w:noWrap/>
            <w:vAlign w:val="center"/>
          </w:tcPr>
          <w:p>
            <w:pPr>
              <w:widowControl/>
              <w:spacing w:line="240" w:lineRule="auto"/>
              <w:ind w:firstLine="0" w:firstLineChars="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264" w:type="pct"/>
            <w:noWrap/>
            <w:vAlign w:val="center"/>
          </w:tcPr>
          <w:p>
            <w:pPr>
              <w:widowControl/>
              <w:spacing w:line="240" w:lineRule="auto"/>
              <w:ind w:firstLine="0" w:firstLineChars="0"/>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统计分析模块</w:t>
            </w:r>
          </w:p>
        </w:tc>
        <w:tc>
          <w:tcPr>
            <w:tcW w:w="2865" w:type="pct"/>
            <w:noWrap w:val="0"/>
            <w:vAlign w:val="center"/>
          </w:tcPr>
          <w:p>
            <w:pPr>
              <w:widowControl/>
              <w:spacing w:line="240" w:lineRule="auto"/>
              <w:ind w:firstLine="0" w:firstLineChars="0"/>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支持对无界流数据进行高效的实时处理和分析，同时也支持批量数据的处理。</w:t>
            </w:r>
          </w:p>
          <w:p>
            <w:pPr>
              <w:widowControl/>
              <w:spacing w:line="240" w:lineRule="auto"/>
              <w:ind w:firstLine="0" w:firstLine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支持定时间自定义统计数据，时间维度至秒级</w:t>
            </w:r>
            <w:r>
              <w:rPr>
                <w:rFonts w:hint="eastAsia" w:ascii="仿宋" w:hAnsi="仿宋" w:eastAsia="仿宋" w:cs="仿宋"/>
                <w:color w:val="000000"/>
                <w:sz w:val="24"/>
                <w:lang w:eastAsia="zh-CN"/>
              </w:rPr>
              <w:t>。</w:t>
            </w:r>
          </w:p>
          <w:p>
            <w:pPr>
              <w:widowControl/>
              <w:spacing w:line="240" w:lineRule="auto"/>
              <w:ind w:firstLine="0" w:firstLine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、支持统计模型的统计数据按照分析规则触发数量进行统计</w:t>
            </w:r>
            <w:r>
              <w:rPr>
                <w:rFonts w:hint="eastAsia" w:ascii="仿宋" w:hAnsi="仿宋" w:eastAsia="仿宋" w:cs="仿宋"/>
                <w:color w:val="000000"/>
                <w:sz w:val="24"/>
                <w:lang w:eastAsia="zh-CN"/>
              </w:rPr>
              <w:t>。</w:t>
            </w:r>
          </w:p>
          <w:p>
            <w:pPr>
              <w:widowControl/>
              <w:spacing w:line="240" w:lineRule="auto"/>
              <w:ind w:firstLine="0" w:firstLineChars="0"/>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、支持统计模型的数据扩展多个字段</w:t>
            </w:r>
            <w:r>
              <w:rPr>
                <w:rFonts w:hint="eastAsia" w:ascii="仿宋" w:hAnsi="仿宋" w:eastAsia="仿宋" w:cs="仿宋"/>
                <w:color w:val="000000"/>
                <w:sz w:val="24"/>
                <w:lang w:eastAsia="zh-CN"/>
              </w:rPr>
              <w:t>。</w:t>
            </w:r>
          </w:p>
        </w:tc>
        <w:tc>
          <w:tcPr>
            <w:tcW w:w="423"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46" w:type="pct"/>
            <w:noWrap/>
            <w:vAlign w:val="center"/>
          </w:tcPr>
          <w:p>
            <w:pPr>
              <w:widowControl/>
              <w:spacing w:line="240" w:lineRule="auto"/>
              <w:ind w:firstLine="0" w:firstLineChars="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264" w:type="pct"/>
            <w:noWrap/>
            <w:vAlign w:val="center"/>
          </w:tcPr>
          <w:p>
            <w:pPr>
              <w:widowControl/>
              <w:spacing w:line="240" w:lineRule="auto"/>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人行数据上报模块</w:t>
            </w:r>
          </w:p>
        </w:tc>
        <w:tc>
          <w:tcPr>
            <w:tcW w:w="2865"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1、支持与人行</w:t>
            </w:r>
            <w:r>
              <w:rPr>
                <w:rFonts w:hint="eastAsia" w:ascii="仿宋" w:hAnsi="仿宋" w:eastAsia="仿宋" w:cs="仿宋"/>
                <w:color w:val="000000"/>
                <w:sz w:val="24"/>
                <w:lang w:val="en-US" w:eastAsia="zh-CN"/>
              </w:rPr>
              <w:t>态势感知</w:t>
            </w:r>
            <w:r>
              <w:rPr>
                <w:rFonts w:hint="eastAsia" w:ascii="仿宋" w:hAnsi="仿宋" w:eastAsia="仿宋" w:cs="仿宋"/>
                <w:color w:val="000000"/>
                <w:sz w:val="24"/>
              </w:rPr>
              <w:t>数据</w:t>
            </w:r>
            <w:r>
              <w:rPr>
                <w:rFonts w:hint="eastAsia" w:ascii="仿宋" w:hAnsi="仿宋" w:eastAsia="仿宋" w:cs="仿宋"/>
                <w:color w:val="000000"/>
                <w:sz w:val="24"/>
                <w:lang w:val="en-US" w:eastAsia="zh-CN"/>
              </w:rPr>
              <w:t>上报</w:t>
            </w:r>
            <w:r>
              <w:rPr>
                <w:rFonts w:hint="eastAsia" w:ascii="仿宋" w:hAnsi="仿宋" w:eastAsia="仿宋" w:cs="仿宋"/>
                <w:color w:val="000000"/>
                <w:sz w:val="24"/>
              </w:rPr>
              <w:t>平台进行数据对接。</w:t>
            </w:r>
          </w:p>
          <w:p>
            <w:pPr>
              <w:widowControl/>
              <w:spacing w:line="240" w:lineRule="auto"/>
              <w:ind w:firstLine="0" w:firstLine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2、根据人行要求数据上传字段进</w:t>
            </w:r>
            <w:r>
              <w:rPr>
                <w:rFonts w:hint="eastAsia" w:ascii="仿宋" w:hAnsi="仿宋" w:eastAsia="仿宋" w:cs="仿宋"/>
                <w:color w:val="000000"/>
                <w:sz w:val="24"/>
                <w:lang w:val="en-US" w:eastAsia="zh-CN"/>
              </w:rPr>
              <w:t>行</w:t>
            </w:r>
            <w:r>
              <w:rPr>
                <w:rFonts w:hint="eastAsia" w:ascii="仿宋" w:hAnsi="仿宋" w:eastAsia="仿宋" w:cs="仿宋"/>
                <w:color w:val="000000"/>
                <w:sz w:val="24"/>
              </w:rPr>
              <w:t>配置</w:t>
            </w:r>
            <w:r>
              <w:rPr>
                <w:rFonts w:hint="eastAsia" w:ascii="仿宋" w:hAnsi="仿宋" w:eastAsia="仿宋" w:cs="仿宋"/>
                <w:color w:val="000000"/>
                <w:sz w:val="24"/>
                <w:lang w:eastAsia="zh-CN"/>
              </w:rPr>
              <w:t>。</w:t>
            </w:r>
          </w:p>
          <w:p>
            <w:pPr>
              <w:widowControl/>
              <w:spacing w:line="240" w:lineRule="auto"/>
              <w:ind w:firstLine="0" w:firstLineChars="0"/>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3、根据威胁研判后的数据进行精准上报。</w:t>
            </w:r>
          </w:p>
        </w:tc>
        <w:tc>
          <w:tcPr>
            <w:tcW w:w="423"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1264" w:type="pct"/>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CMDB数据对接</w:t>
            </w:r>
          </w:p>
        </w:tc>
        <w:tc>
          <w:tcPr>
            <w:tcW w:w="2865"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1.在二期对接用户新建CMDB系统基础上通过API接口对接形式，增加对接字段，如：资产名称、操作系统版本、负责人名称、开放端口信息、系统版本、IP地址、中间件版本等字段，并可将存在漏洞标识在资产之中。</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2.资产每次同步新增更新后对资产进行重新漏洞匹配及标识，实现漏洞及资产可增量匹配。资产增删改后漏洞信息可自动同步调整。</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3.可通过页面搜索相应漏洞名称、受害主机、漏洞编号等字段查询详细资产情况。</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4.漏洞导入时间与CMDB同步资产后碰撞漏洞库或Nessus扫描同步时间保持一致。</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5.当与CMDB同步资产信息后，部分过去存在漏洞不再存在，则将与CMDB同步时间用于表示漏洞修复完成时间。</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漏洞可进行全生命周期展示，以资产为视角查看其过去时间存在漏洞数量及当下漏洞数量，通过图形化方式进行展示了解漏洞变化情况。</w:t>
            </w:r>
          </w:p>
        </w:tc>
        <w:tc>
          <w:tcPr>
            <w:tcW w:w="423"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noWrap/>
            <w:vAlign w:val="center"/>
          </w:tcPr>
          <w:p>
            <w:pPr>
              <w:widowControl/>
              <w:spacing w:line="240" w:lineRule="auto"/>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1264" w:type="pct"/>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漏洞管理平台对接</w:t>
            </w:r>
          </w:p>
        </w:tc>
        <w:tc>
          <w:tcPr>
            <w:tcW w:w="2865"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1、对接单位漏洞管理平台，实现统一收集资产的数量、分布、组件应用以及漏洞、威胁资产进行深入的态势感知及告警，实现资产、漏洞的安全监测。</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2、对资产进行细颗粒度梳理、关联并以组织架构进行统一管理，满足各资产发现与管理部门对资产精细化管理的要求，同时为漏洞情报匹配及漏洞风险碰撞奠定数据基础。</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3、对主流漏扫厂商联动及适配，实现多源归一与漏洞扫描紧耦合，能够主动地、定期自动化地发起漏洞扫描，并将扫描结果与资产进行匹配，进行资产和业务的脆弱性管理。</w:t>
            </w:r>
          </w:p>
        </w:tc>
        <w:tc>
          <w:tcPr>
            <w:tcW w:w="423"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noWrap/>
            <w:vAlign w:val="center"/>
          </w:tcPr>
          <w:p>
            <w:pPr>
              <w:widowControl/>
              <w:spacing w:line="240" w:lineRule="auto"/>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1264" w:type="pct"/>
            <w:noWrap/>
            <w:vAlign w:val="center"/>
          </w:tcPr>
          <w:p>
            <w:pPr>
              <w:widowControl/>
              <w:spacing w:line="240" w:lineRule="auto"/>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弱点管理模块优化</w:t>
            </w:r>
          </w:p>
        </w:tc>
        <w:tc>
          <w:tcPr>
            <w:tcW w:w="2865"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1.将弱点管理模块中涉及弱点二字修改成漏洞二字。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在原有弱点管理模块字段的基础上增加以下字段：漏洞名称、漏洞等级、漏洞来源、漏洞类型、受影响主机、域名、系统名称、漏洞发现时间、漏洞详情、整改建议、处置情况（未处置、已处置待复测、已修复）。 </w:t>
            </w:r>
          </w:p>
          <w:p>
            <w:pPr>
              <w:pStyle w:val="5"/>
              <w:keepNext w:val="0"/>
              <w:keepLines w:val="0"/>
              <w:pageBreakBefore w:val="0"/>
              <w:kinsoku/>
              <w:wordWrap/>
              <w:overflowPunct/>
              <w:topLinePunct w:val="0"/>
              <w:autoSpaceDE/>
              <w:autoSpaceDN/>
              <w:bidi w:val="0"/>
              <w:adjustRightInd/>
              <w:snapToGrid/>
              <w:spacing w:before="0" w:after="0" w:line="24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以下对每一个字段进行详细说明：</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漏洞名称：将弱点名称修改成漏洞名称。</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漏洞等级：将威胁等级修改成漏洞等级。</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漏洞来源：将扫描器名称修改成漏洞来源。</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漏洞类型：手工填写漏洞类型。</w:t>
            </w:r>
          </w:p>
          <w:p>
            <w:pPr>
              <w:pStyle w:val="5"/>
              <w:keepNext w:val="0"/>
              <w:keepLines w:val="0"/>
              <w:pageBreakBefore w:val="0"/>
              <w:kinsoku/>
              <w:wordWrap/>
              <w:overflowPunct/>
              <w:topLinePunct w:val="0"/>
              <w:autoSpaceDE/>
              <w:autoSpaceDN/>
              <w:bidi w:val="0"/>
              <w:adjustRightInd/>
              <w:snapToGrid/>
              <w:spacing w:before="0" w:after="0" w:line="240" w:lineRule="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受影响主机：保持不变。</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域名：手工填写域名。</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系统名称：手工填写系统名称。</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漏洞发现时间：将漏洞导入时间修改成漏洞发现时间。</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漏洞详情：将弱点描述修改成漏洞详情。</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整改建议：将解决建议修改成整改建议。</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处置情况：将处置状态内容修改成未处置、已处置待复测、已修复三项，进行手工选择。</w:t>
            </w:r>
          </w:p>
          <w:p>
            <w:pPr>
              <w:pStyle w:val="5"/>
              <w:keepNext w:val="0"/>
              <w:keepLines w:val="0"/>
              <w:pageBreakBefore w:val="0"/>
              <w:kinsoku/>
              <w:wordWrap/>
              <w:overflowPunct/>
              <w:topLinePunct w:val="0"/>
              <w:autoSpaceDE/>
              <w:autoSpaceDN/>
              <w:bidi w:val="0"/>
              <w:adjustRightInd/>
              <w:snapToGrid/>
              <w:spacing w:before="0" w:after="0" w:line="240" w:lineRule="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处置情况：增加一个文本框用于填写处置情况。 </w:t>
            </w:r>
          </w:p>
          <w:p>
            <w:pPr>
              <w:widowControl/>
              <w:numPr>
                <w:ilvl w:val="0"/>
                <w:numId w:val="1"/>
              </w:numPr>
              <w:spacing w:line="240" w:lineRule="auto"/>
              <w:ind w:firstLine="0" w:firstLineChars="0"/>
              <w:jc w:val="left"/>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在弱点管理模块中点击受影响主机可以跳转到资产详情。</w:t>
            </w:r>
          </w:p>
          <w:p>
            <w:pPr>
              <w:widowControl/>
              <w:numPr>
                <w:ilvl w:val="0"/>
                <w:numId w:val="1"/>
              </w:numPr>
              <w:spacing w:line="240" w:lineRule="auto"/>
              <w:ind w:firstLine="0" w:firstLineChars="0"/>
              <w:jc w:val="left"/>
              <w:textAlignment w:val="center"/>
              <w:rPr>
                <w:rFonts w:hint="default"/>
                <w:lang w:val="en-US" w:eastAsia="zh-CN"/>
              </w:rPr>
            </w:pPr>
            <w:r>
              <w:rPr>
                <w:rFonts w:hint="eastAsia" w:ascii="仿宋" w:hAnsi="仿宋" w:eastAsia="仿宋" w:cs="仿宋"/>
                <w:color w:val="000000"/>
                <w:sz w:val="24"/>
                <w:lang w:val="en-US" w:eastAsia="zh-CN"/>
              </w:rPr>
              <w:t>在弱点管理模块中点击域名可以跳转到Web业务系统页面，查看详情。</w:t>
            </w:r>
          </w:p>
          <w:p>
            <w:pPr>
              <w:widowControl/>
              <w:numPr>
                <w:ilvl w:val="0"/>
                <w:numId w:val="1"/>
              </w:numPr>
              <w:spacing w:line="240" w:lineRule="auto"/>
              <w:ind w:firstLine="0" w:firstLineChars="0"/>
              <w:jc w:val="left"/>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弱点重模块工单处置返回后，处置状态自动变为已处置待复测。</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6.弱点管理模块中漏洞资产添加编辑按钮并且对属性具有编辑功能。</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7.弱点模块增加手工添加漏洞功能，增加excel批量漏洞导入功能。</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8.手工添加、漏洞导入的漏洞需要和IP资产、域名资产进行关联。</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9.漏洞具备工单管理功能。</w:t>
            </w:r>
          </w:p>
          <w:p>
            <w:pPr>
              <w:widowControl/>
              <w:spacing w:line="240" w:lineRule="auto"/>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10.当从资产详情漏洞信息跳转到弱点管理模块时，需要展示所有与该资产关联的所有漏洞信息，包含：漏洞库。</w:t>
            </w:r>
          </w:p>
          <w:p>
            <w:pPr>
              <w:widowControl/>
              <w:spacing w:line="240" w:lineRule="auto"/>
              <w:ind w:firstLine="0" w:firstLineChars="0"/>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添加漏洞知识库查询模块。支持知识库功能，支持对漏洞条目进行自定义编辑，可对漏洞名称、等级、类型、漏洞描述、漏洞修复建议、参考信息进行修改和完善，具备上传图片和附件的等功能，形成贵州农信专属的漏洞知识库。</w:t>
            </w:r>
          </w:p>
        </w:tc>
        <w:tc>
          <w:tcPr>
            <w:tcW w:w="423" w:type="pct"/>
            <w:noWrap w:val="0"/>
            <w:vAlign w:val="center"/>
          </w:tcPr>
          <w:p>
            <w:pPr>
              <w:widowControl/>
              <w:spacing w:line="240" w:lineRule="auto"/>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spacing w:line="240" w:lineRule="auto"/>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7</w:t>
            </w:r>
          </w:p>
        </w:tc>
        <w:tc>
          <w:tcPr>
            <w:tcW w:w="1264" w:type="pct"/>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原厂驻场安全运营服务</w:t>
            </w:r>
          </w:p>
        </w:tc>
        <w:tc>
          <w:tcPr>
            <w:tcW w:w="2865" w:type="pct"/>
            <w:noWrap w:val="0"/>
            <w:vAlign w:val="center"/>
          </w:tcPr>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工作内容描述：</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1、安全设备定期巡检：驻场人员定期对于态势平台进行安全巡检工作，及时针对大数据组件健康性等内容进行实时监测，确保态势感知大数据平台安全稳定运行。</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2、安全设备系统升级：当安全设备厂商发布了最新系统升级信息，且得到单位确认必须升级时，驻场人员对态势平台行同步升级，保证安全设备系统处于最新状态，安全设备系统版本一致。</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3、安全设备故障处理：设备故障分为软件故障和硬件故障。当驻场人员在日常监控过程中发现设备存在故障时，立即以电话的方式汇报给单位相关人员，并告知故障详细内容并截图记录，在得到单位相关人员确认并同意故障处理后，驻场人员协助单位相关人员进行故障处理。</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4、安全设备防护告警监测：通过分析态势感知产生的安全事件或日志信息，获取网络中存在的各类病毒、蠕虫、非法访问、攻击事件，并进行及时的处理。根据安全风险和安全问题情况有针对性地采取措施解决问题，配合及时进行策略调整和优化降低风险。</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5、安全漏洞整改跟踪：在漏洞整改过程中，驻场人员对漏洞整改情况进行详细跟踪和记录，并在修复工作完成之后，及时更新漏洞知识库。</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6、安全咨询支持：从安全的角度为其提供网络安全部署与部署流程的建议，积极参加应用系统上线前安全评审会，参与应用系统安全测试工作，并详细记录每项工作步骤和结果，并以邮件的形式汇报给单位相关人员。</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7、专业的安全建议</w:t>
            </w:r>
            <w:r>
              <w:rPr>
                <w:rFonts w:hint="eastAsia" w:ascii="仿宋" w:hAnsi="仿宋" w:eastAsia="仿宋" w:cs="仿宋"/>
                <w:color w:val="000000"/>
                <w:kern w:val="0"/>
                <w:sz w:val="24"/>
                <w:lang w:val="en-US" w:eastAsia="zh-CN"/>
              </w:rPr>
              <w:t>：根据贵州农信的攻击数据，提借专业的处理意见和建议，以期进一精准的处置攻击行为。</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8、数据分析模型规则优化：模型能力优化增强，通过结合省联社告警现状及业务情况在现有模型基础上进行进一步完善补齐，确保告警数据精准有效。</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9、数据告警分析及报表输出：驻场人员可对历史离线数据进行分析，对历史数据进行二次挖掘，发现隐藏异常行为；通过将现有告警与历史数据进行比对。驻场人员对于离线数据进行整理归纳，分析总结数据中关联性、时效性及与业务相关性，并定期离线数据分析处置报告，整体把控数据告警走向等内容。</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10、数据编排：驻场人员通过自定义编程创建特征，通过python等语言进行创建，并提供语言创建模板等信息，按照客户需求进行定制开发相关工作。</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11、数据推送：驻场人员通过对态势感知离线数据进行汇总整理并根据客户需求进行推送到SOAR等多平台，确保离线数据二次利用价值。</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12、重大保障时期协助监控省联社体系网络安全风险及事件，进行相应安全验证及应急响应，确保省联社网络安全。</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w:t>
            </w:r>
            <w:r>
              <w:rPr>
                <w:rFonts w:hint="eastAsia" w:ascii="仿宋" w:hAnsi="仿宋" w:eastAsia="仿宋" w:cs="仿宋"/>
                <w:color w:val="000000"/>
                <w:kern w:val="0"/>
                <w:sz w:val="24"/>
                <w:lang w:val="en-US" w:eastAsia="zh-CN"/>
              </w:rPr>
              <w:t>3</w:t>
            </w:r>
            <w:r>
              <w:rPr>
                <w:rFonts w:hint="default" w:ascii="仿宋" w:hAnsi="仿宋" w:eastAsia="仿宋" w:cs="仿宋"/>
                <w:color w:val="000000"/>
                <w:kern w:val="0"/>
                <w:sz w:val="24"/>
                <w:lang w:val="en-US" w:eastAsia="zh-CN"/>
              </w:rPr>
              <w:t>、白名单策略梳理：结合现场告警数据与业务场景配置相应白名单策略</w:t>
            </w:r>
            <w:r>
              <w:rPr>
                <w:rFonts w:hint="eastAsia" w:ascii="仿宋" w:hAnsi="仿宋" w:eastAsia="仿宋" w:cs="仿宋"/>
                <w:color w:val="000000"/>
                <w:kern w:val="0"/>
                <w:sz w:val="24"/>
                <w:lang w:val="en-US" w:eastAsia="zh-CN"/>
              </w:rPr>
              <w:t>。</w:t>
            </w:r>
          </w:p>
          <w:p>
            <w:pPr>
              <w:widowControl/>
              <w:numPr>
                <w:ilvl w:val="0"/>
                <w:numId w:val="0"/>
              </w:numPr>
              <w:spacing w:line="240" w:lineRule="auto"/>
              <w:jc w:val="left"/>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14</w:t>
            </w:r>
            <w:r>
              <w:rPr>
                <w:rFonts w:hint="default" w:ascii="仿宋" w:hAnsi="仿宋" w:eastAsia="仿宋" w:cs="仿宋"/>
                <w:color w:val="000000"/>
                <w:kern w:val="0"/>
                <w:sz w:val="24"/>
                <w:lang w:val="en-US" w:eastAsia="zh-CN"/>
              </w:rPr>
              <w:t>、攻击特征梳理：结合现场告警梳理攻击特征</w:t>
            </w:r>
            <w:r>
              <w:rPr>
                <w:rFonts w:hint="eastAsia" w:ascii="仿宋" w:hAnsi="仿宋" w:eastAsia="仿宋" w:cs="仿宋"/>
                <w:color w:val="000000"/>
                <w:kern w:val="0"/>
                <w:sz w:val="24"/>
                <w:lang w:val="en-US" w:eastAsia="zh-CN"/>
              </w:rPr>
              <w:t>。</w:t>
            </w:r>
          </w:p>
        </w:tc>
        <w:tc>
          <w:tcPr>
            <w:tcW w:w="423" w:type="pct"/>
            <w:noWrap w:val="0"/>
            <w:vAlign w:val="center"/>
          </w:tcPr>
          <w:p>
            <w:pPr>
              <w:widowControl/>
              <w:spacing w:line="240" w:lineRule="auto"/>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bookmarkEnd w:id="0"/>
    </w:tbl>
    <w:p>
      <w:pPr>
        <w:rPr>
          <w:b w:val="0"/>
          <w:bCs w:val="0"/>
          <w:color w:val="auto"/>
        </w:rPr>
      </w:pPr>
    </w:p>
    <w:p>
      <w:pPr>
        <w:pStyle w:val="2"/>
        <w:numPr>
          <w:ilvl w:val="0"/>
          <w:numId w:val="0"/>
        </w:numPr>
        <w:ind w:leftChars="0"/>
        <w:rPr>
          <w:rFonts w:hint="eastAsia" w:ascii="仿宋_GB2312" w:hAnsi="仿宋_GB2312" w:eastAsia="仿宋_GB2312" w:cs="仿宋_GB2312"/>
          <w:b/>
          <w:bCs/>
          <w:color w:val="auto"/>
        </w:rPr>
      </w:pPr>
      <w:bookmarkStart w:id="1" w:name="_Toc428"/>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自动化编排与响应系统</w:t>
      </w:r>
      <w:r>
        <w:rPr>
          <w:rFonts w:hint="eastAsia" w:ascii="仿宋_GB2312" w:hAnsi="仿宋_GB2312" w:eastAsia="仿宋_GB2312" w:cs="仿宋_GB2312"/>
          <w:b/>
          <w:bCs/>
          <w:color w:val="auto"/>
          <w:lang w:eastAsia="zh-CN"/>
        </w:rPr>
        <w:t>（国舜）</w:t>
      </w:r>
      <w:r>
        <w:rPr>
          <w:rFonts w:hint="eastAsia" w:ascii="仿宋_GB2312" w:hAnsi="仿宋_GB2312" w:eastAsia="仿宋_GB2312" w:cs="仿宋_GB2312"/>
          <w:b/>
          <w:bCs/>
          <w:color w:val="auto"/>
        </w:rPr>
        <w:t>扩容采购清单</w:t>
      </w:r>
      <w:bookmarkEnd w:id="1"/>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45"/>
        <w:gridCol w:w="4891"/>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46" w:type="pct"/>
            <w:noWrap/>
            <w:vAlign w:val="center"/>
          </w:tcPr>
          <w:p>
            <w:pPr>
              <w:widowControl/>
              <w:ind w:firstLine="0" w:firstLineChars="0"/>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258" w:type="pct"/>
            <w:noWrap/>
            <w:vAlign w:val="center"/>
          </w:tcPr>
          <w:p>
            <w:pPr>
              <w:widowControl/>
              <w:ind w:firstLine="0" w:firstLineChars="0"/>
              <w:jc w:val="center"/>
              <w:textAlignment w:val="center"/>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模块</w:t>
            </w:r>
          </w:p>
        </w:tc>
        <w:tc>
          <w:tcPr>
            <w:tcW w:w="2870" w:type="pct"/>
            <w:noWrap w:val="0"/>
            <w:vAlign w:val="center"/>
          </w:tcPr>
          <w:p>
            <w:pPr>
              <w:widowControl/>
              <w:ind w:firstLine="0" w:firstLineChars="0"/>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参数描述</w:t>
            </w:r>
          </w:p>
        </w:tc>
        <w:tc>
          <w:tcPr>
            <w:tcW w:w="423" w:type="pct"/>
            <w:noWrap w:val="0"/>
            <w:vAlign w:val="center"/>
          </w:tcPr>
          <w:p>
            <w:pPr>
              <w:widowControl/>
              <w:ind w:firstLine="0" w:firstLineChars="0"/>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noWrap/>
            <w:vAlign w:val="center"/>
          </w:tcPr>
          <w:p>
            <w:pPr>
              <w:widowControl/>
              <w:ind w:firstLine="0" w:firstLineChars="0"/>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1258" w:type="pct"/>
            <w:noWrap/>
            <w:vAlign w:val="center"/>
          </w:tcPr>
          <w:p>
            <w:pPr>
              <w:widowControl/>
              <w:ind w:firstLine="0" w:firstLineChars="0"/>
              <w:jc w:val="center"/>
              <w:textAlignment w:val="center"/>
              <w:rPr>
                <w:rFonts w:hint="eastAsia" w:ascii="仿宋" w:hAnsi="仿宋" w:eastAsia="仿宋" w:cs="仿宋"/>
                <w:color w:val="000000"/>
                <w:sz w:val="24"/>
              </w:rPr>
            </w:pPr>
            <w:r>
              <w:rPr>
                <w:rFonts w:hint="eastAsia" w:ascii="仿宋" w:hAnsi="仿宋" w:eastAsia="仿宋" w:cs="仿宋"/>
                <w:color w:val="000000"/>
                <w:sz w:val="24"/>
              </w:rPr>
              <w:t>POC脚本管理</w:t>
            </w:r>
          </w:p>
        </w:tc>
        <w:tc>
          <w:tcPr>
            <w:tcW w:w="2870" w:type="pct"/>
            <w:noWrap w:val="0"/>
            <w:vAlign w:val="center"/>
          </w:tcPr>
          <w:p>
            <w:pPr>
              <w:widowControl/>
              <w:numPr>
                <w:ilvl w:val="0"/>
                <w:numId w:val="2"/>
              </w:numPr>
              <w:ind w:firstLine="0" w:firstLineChars="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rPr>
              <w:t>提供</w:t>
            </w:r>
            <w:r>
              <w:rPr>
                <w:rFonts w:hint="eastAsia" w:ascii="仿宋" w:hAnsi="仿宋" w:eastAsia="仿宋" w:cs="仿宋"/>
                <w:color w:val="000000"/>
                <w:sz w:val="24"/>
                <w:lang w:val="en-US" w:eastAsia="zh-CN"/>
              </w:rPr>
              <w:t>至少</w:t>
            </w:r>
            <w:r>
              <w:rPr>
                <w:rFonts w:hint="eastAsia" w:ascii="仿宋" w:hAnsi="仿宋" w:eastAsia="仿宋" w:cs="仿宋"/>
                <w:color w:val="000000"/>
                <w:sz w:val="24"/>
              </w:rPr>
              <w:t>500个针对近几年漏洞的POC脚本</w:t>
            </w:r>
            <w:r>
              <w:rPr>
                <w:rFonts w:hint="eastAsia" w:ascii="仿宋" w:hAnsi="仿宋" w:eastAsia="仿宋" w:cs="仿宋"/>
                <w:color w:val="000000"/>
                <w:sz w:val="24"/>
                <w:lang w:val="en-US" w:eastAsia="zh-CN"/>
              </w:rPr>
              <w:t>库。</w:t>
            </w:r>
          </w:p>
          <w:p>
            <w:pPr>
              <w:widowControl/>
              <w:numPr>
                <w:ilvl w:val="0"/>
                <w:numId w:val="2"/>
              </w:numPr>
              <w:ind w:firstLine="0" w:firstLineChars="0"/>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支持定期更新POC脚本库。</w:t>
            </w:r>
          </w:p>
        </w:tc>
        <w:tc>
          <w:tcPr>
            <w:tcW w:w="423" w:type="pct"/>
            <w:noWrap w:val="0"/>
            <w:vAlign w:val="center"/>
          </w:tcPr>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46" w:type="pct"/>
            <w:noWrap/>
            <w:vAlign w:val="center"/>
          </w:tcPr>
          <w:p>
            <w:pPr>
              <w:widowControl/>
              <w:ind w:firstLine="0" w:firstLineChars="0"/>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1258" w:type="pct"/>
            <w:noWrap/>
            <w:vAlign w:val="center"/>
          </w:tcPr>
          <w:p>
            <w:pPr>
              <w:widowControl/>
              <w:ind w:firstLine="0" w:firstLineChars="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PYTHON脚本管理</w:t>
            </w:r>
          </w:p>
        </w:tc>
        <w:tc>
          <w:tcPr>
            <w:tcW w:w="2870" w:type="pct"/>
            <w:noWrap w:val="0"/>
            <w:vAlign w:val="center"/>
          </w:tcPr>
          <w:p>
            <w:pPr>
              <w:widowControl/>
              <w:numPr>
                <w:ilvl w:val="0"/>
                <w:numId w:val="3"/>
              </w:numPr>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支持在线自定义脚本，默认支持以下场景：</w:t>
            </w:r>
          </w:p>
          <w:p>
            <w:pPr>
              <w:widowControl/>
              <w:numPr>
                <w:ilvl w:val="0"/>
                <w:numId w:val="0"/>
              </w:numPr>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、取证分析脚本</w:t>
            </w:r>
          </w:p>
          <w:p>
            <w:pPr>
              <w:widowControl/>
              <w:ind w:firstLine="0" w:firstLineChars="0"/>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支持对</w:t>
            </w:r>
            <w:r>
              <w:rPr>
                <w:rFonts w:hint="eastAsia" w:ascii="仿宋" w:hAnsi="仿宋" w:eastAsia="仿宋" w:cs="仿宋"/>
                <w:color w:val="000000"/>
                <w:sz w:val="24"/>
              </w:rPr>
              <w:t>高风险或高价值资产进行取证，脚本自动对资产进行线索取证，研判分析后将对资产更新评分，取证维度包含以下：网络连接</w:t>
            </w:r>
            <w:r>
              <w:rPr>
                <w:rFonts w:hint="eastAsia" w:ascii="仿宋" w:hAnsi="仿宋" w:eastAsia="仿宋" w:cs="仿宋"/>
                <w:color w:val="000000"/>
                <w:sz w:val="24"/>
                <w:lang w:eastAsia="zh-CN"/>
              </w:rPr>
              <w:t>、</w:t>
            </w:r>
            <w:r>
              <w:rPr>
                <w:rFonts w:hint="eastAsia" w:ascii="仿宋" w:hAnsi="仿宋" w:eastAsia="仿宋" w:cs="仿宋"/>
                <w:color w:val="000000"/>
                <w:sz w:val="24"/>
              </w:rPr>
              <w:t>系统进程</w:t>
            </w:r>
            <w:r>
              <w:rPr>
                <w:rFonts w:hint="eastAsia" w:ascii="仿宋" w:hAnsi="仿宋" w:eastAsia="仿宋" w:cs="仿宋"/>
                <w:color w:val="000000"/>
                <w:sz w:val="24"/>
                <w:lang w:eastAsia="zh-CN"/>
              </w:rPr>
              <w:t>、</w:t>
            </w:r>
            <w:r>
              <w:rPr>
                <w:rFonts w:hint="eastAsia" w:ascii="仿宋" w:hAnsi="仿宋" w:eastAsia="仿宋" w:cs="仿宋"/>
                <w:color w:val="000000"/>
                <w:sz w:val="24"/>
              </w:rPr>
              <w:t>系统用户</w:t>
            </w:r>
            <w:r>
              <w:rPr>
                <w:rFonts w:hint="eastAsia" w:ascii="仿宋" w:hAnsi="仿宋" w:eastAsia="仿宋" w:cs="仿宋"/>
                <w:color w:val="000000"/>
                <w:sz w:val="24"/>
                <w:lang w:eastAsia="zh-CN"/>
              </w:rPr>
              <w:t>、</w:t>
            </w:r>
            <w:r>
              <w:rPr>
                <w:rFonts w:hint="eastAsia" w:ascii="仿宋" w:hAnsi="仿宋" w:eastAsia="仿宋" w:cs="仿宋"/>
                <w:color w:val="000000"/>
                <w:sz w:val="24"/>
              </w:rPr>
              <w:t>计划任务</w:t>
            </w:r>
            <w:r>
              <w:rPr>
                <w:rFonts w:hint="eastAsia" w:ascii="仿宋" w:hAnsi="仿宋" w:eastAsia="仿宋" w:cs="仿宋"/>
                <w:color w:val="000000"/>
                <w:sz w:val="24"/>
                <w:lang w:eastAsia="zh-CN"/>
              </w:rPr>
              <w:t>、</w:t>
            </w:r>
            <w:r>
              <w:rPr>
                <w:rFonts w:hint="eastAsia" w:ascii="仿宋" w:hAnsi="仿宋" w:eastAsia="仿宋" w:cs="仿宋"/>
                <w:color w:val="000000"/>
                <w:sz w:val="24"/>
              </w:rPr>
              <w:t>历史命令</w:t>
            </w:r>
            <w:r>
              <w:rPr>
                <w:rFonts w:hint="eastAsia" w:ascii="仿宋" w:hAnsi="仿宋" w:eastAsia="仿宋" w:cs="仿宋"/>
                <w:color w:val="000000"/>
                <w:sz w:val="24"/>
                <w:lang w:eastAsia="zh-CN"/>
              </w:rPr>
              <w:t>、</w:t>
            </w:r>
            <w:r>
              <w:rPr>
                <w:rFonts w:hint="eastAsia" w:ascii="仿宋" w:hAnsi="仿宋" w:eastAsia="仿宋" w:cs="仿宋"/>
                <w:color w:val="000000"/>
                <w:sz w:val="24"/>
              </w:rPr>
              <w:t>可疑文件</w:t>
            </w:r>
            <w:r>
              <w:rPr>
                <w:rFonts w:hint="eastAsia" w:ascii="仿宋" w:hAnsi="仿宋" w:eastAsia="仿宋" w:cs="仿宋"/>
                <w:color w:val="000000"/>
                <w:sz w:val="24"/>
                <w:lang w:val="en-US" w:eastAsia="zh-CN"/>
              </w:rPr>
              <w:t>等方面。</w:t>
            </w:r>
          </w:p>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w:t>
            </w:r>
            <w:r>
              <w:rPr>
                <w:rFonts w:hint="eastAsia" w:ascii="仿宋" w:hAnsi="仿宋" w:eastAsia="仿宋" w:cs="仿宋"/>
                <w:color w:val="000000"/>
                <w:sz w:val="24"/>
              </w:rPr>
              <w:t>2</w:t>
            </w:r>
            <w:r>
              <w:rPr>
                <w:rFonts w:hint="eastAsia" w:ascii="仿宋" w:hAnsi="仿宋" w:eastAsia="仿宋" w:cs="仿宋"/>
                <w:color w:val="000000"/>
                <w:sz w:val="24"/>
                <w:lang w:val="en-US" w:eastAsia="zh-CN"/>
              </w:rPr>
              <w:t>)</w:t>
            </w:r>
            <w:r>
              <w:rPr>
                <w:rFonts w:hint="eastAsia" w:ascii="仿宋" w:hAnsi="仿宋" w:eastAsia="仿宋" w:cs="仿宋"/>
                <w:color w:val="000000"/>
                <w:sz w:val="24"/>
              </w:rPr>
              <w:t>、日常事务脚本</w:t>
            </w:r>
          </w:p>
          <w:p>
            <w:pPr>
              <w:widowControl/>
              <w:ind w:firstLine="0" w:firstLine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临时策略自动化管理:对接内部工单系统、OA系统，将跨部门协作能力固化在脚本中</w:t>
            </w:r>
            <w:r>
              <w:rPr>
                <w:rFonts w:hint="eastAsia" w:ascii="仿宋" w:hAnsi="仿宋" w:eastAsia="仿宋" w:cs="仿宋"/>
                <w:color w:val="000000"/>
                <w:sz w:val="24"/>
                <w:lang w:eastAsia="zh-CN"/>
              </w:rPr>
              <w:t>。</w:t>
            </w:r>
          </w:p>
          <w:p>
            <w:pPr>
              <w:widowControl/>
              <w:ind w:firstLine="0" w:firstLine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通用紧急呼叫：适用于发生紧急安全事件的场景，或其他需要紧急呼叫相关人员的场景，如发生重大网络故障，需要紧急联系相关人员等</w:t>
            </w:r>
            <w:r>
              <w:rPr>
                <w:rFonts w:hint="eastAsia" w:ascii="仿宋" w:hAnsi="仿宋" w:eastAsia="仿宋" w:cs="仿宋"/>
                <w:color w:val="000000"/>
                <w:sz w:val="24"/>
                <w:lang w:eastAsia="zh-CN"/>
              </w:rPr>
              <w:t>。</w:t>
            </w:r>
          </w:p>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3、日常运营脚本</w:t>
            </w:r>
          </w:p>
          <w:p>
            <w:pPr>
              <w:widowControl/>
              <w:ind w:firstLine="0" w:firstLineChars="0"/>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rPr>
              <w:t>资产漏洞扫描</w:t>
            </w:r>
            <w:r>
              <w:rPr>
                <w:rFonts w:hint="eastAsia" w:ascii="仿宋" w:hAnsi="仿宋" w:eastAsia="仿宋" w:cs="仿宋"/>
                <w:color w:val="000000"/>
                <w:sz w:val="24"/>
                <w:lang w:eastAsia="zh-CN"/>
              </w:rPr>
              <w:t>、</w:t>
            </w:r>
            <w:r>
              <w:rPr>
                <w:rFonts w:hint="eastAsia" w:ascii="仿宋" w:hAnsi="仿宋" w:eastAsia="仿宋" w:cs="仿宋"/>
                <w:color w:val="000000"/>
                <w:sz w:val="24"/>
              </w:rPr>
              <w:t>系统监控与报警</w:t>
            </w:r>
            <w:r>
              <w:rPr>
                <w:rFonts w:hint="eastAsia" w:ascii="仿宋" w:hAnsi="仿宋" w:eastAsia="仿宋" w:cs="仿宋"/>
                <w:color w:val="000000"/>
                <w:sz w:val="24"/>
                <w:lang w:eastAsia="zh-CN"/>
              </w:rPr>
              <w:t>、</w:t>
            </w:r>
            <w:r>
              <w:rPr>
                <w:rFonts w:hint="eastAsia" w:ascii="仿宋" w:hAnsi="仿宋" w:eastAsia="仿宋" w:cs="仿宋"/>
                <w:color w:val="000000"/>
                <w:sz w:val="24"/>
              </w:rPr>
              <w:t>定时日志清理</w:t>
            </w:r>
            <w:r>
              <w:rPr>
                <w:rFonts w:hint="eastAsia" w:ascii="仿宋" w:hAnsi="仿宋" w:eastAsia="仿宋" w:cs="仿宋"/>
                <w:color w:val="000000"/>
                <w:sz w:val="24"/>
                <w:lang w:eastAsia="zh-CN"/>
              </w:rPr>
              <w:t>、</w:t>
            </w:r>
            <w:r>
              <w:rPr>
                <w:rFonts w:hint="eastAsia" w:ascii="仿宋" w:hAnsi="仿宋" w:eastAsia="仿宋" w:cs="仿宋"/>
                <w:color w:val="000000"/>
                <w:sz w:val="24"/>
              </w:rPr>
              <w:t>定时数据备份</w:t>
            </w:r>
            <w:r>
              <w:rPr>
                <w:rFonts w:hint="eastAsia" w:ascii="仿宋" w:hAnsi="仿宋" w:eastAsia="仿宋" w:cs="仿宋"/>
                <w:color w:val="000000"/>
                <w:sz w:val="24"/>
                <w:lang w:val="en-US" w:eastAsia="zh-CN"/>
              </w:rPr>
              <w:t>和</w:t>
            </w:r>
            <w:r>
              <w:rPr>
                <w:rFonts w:hint="eastAsia" w:ascii="仿宋" w:hAnsi="仿宋" w:eastAsia="仿宋" w:cs="仿宋"/>
                <w:color w:val="000000"/>
                <w:sz w:val="24"/>
              </w:rPr>
              <w:t>网络可达性测试</w:t>
            </w:r>
            <w:r>
              <w:rPr>
                <w:rFonts w:hint="eastAsia" w:ascii="仿宋" w:hAnsi="仿宋" w:eastAsia="仿宋" w:cs="仿宋"/>
                <w:color w:val="000000"/>
                <w:sz w:val="24"/>
                <w:lang w:val="en-US" w:eastAsia="zh-CN"/>
              </w:rPr>
              <w:t>等脚本。</w:t>
            </w:r>
          </w:p>
        </w:tc>
        <w:tc>
          <w:tcPr>
            <w:tcW w:w="423" w:type="pct"/>
            <w:noWrap w:val="0"/>
            <w:vAlign w:val="center"/>
          </w:tcPr>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446" w:type="pct"/>
            <w:noWrap/>
            <w:vAlign w:val="center"/>
          </w:tcPr>
          <w:p>
            <w:pPr>
              <w:widowControl/>
              <w:ind w:firstLine="0" w:firstLineChars="0"/>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1258" w:type="pct"/>
            <w:noWrap/>
            <w:vAlign w:val="center"/>
          </w:tcPr>
          <w:p>
            <w:pPr>
              <w:widowControl/>
              <w:ind w:firstLine="0" w:firstLineChars="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关联分析引擎优化</w:t>
            </w:r>
          </w:p>
        </w:tc>
        <w:tc>
          <w:tcPr>
            <w:tcW w:w="2870" w:type="pct"/>
            <w:noWrap w:val="0"/>
            <w:vAlign w:val="center"/>
          </w:tcPr>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1、简化策略配置</w:t>
            </w:r>
          </w:p>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原每个场景n个数据源关联分析时由原来配置2</w:t>
            </w:r>
            <w:r>
              <w:rPr>
                <w:rFonts w:hint="eastAsia" w:ascii="仿宋" w:hAnsi="仿宋" w:eastAsia="仿宋" w:cs="仿宋"/>
                <w:color w:val="000000"/>
                <w:sz w:val="24"/>
                <w:vertAlign w:val="superscript"/>
              </w:rPr>
              <w:t>n</w:t>
            </w:r>
            <w:r>
              <w:rPr>
                <w:rFonts w:hint="eastAsia" w:ascii="仿宋" w:hAnsi="仿宋" w:eastAsia="仿宋" w:cs="仿宋"/>
                <w:color w:val="000000"/>
                <w:sz w:val="24"/>
              </w:rPr>
              <w:t>-1</w:t>
            </w:r>
            <w:r>
              <w:rPr>
                <w:rFonts w:hint="eastAsia" w:ascii="仿宋" w:hAnsi="仿宋" w:eastAsia="仿宋" w:cs="仿宋"/>
                <w:color w:val="000000"/>
                <w:sz w:val="24"/>
                <w:lang w:val="en-US" w:eastAsia="zh-CN"/>
              </w:rPr>
              <w:t>个规则</w:t>
            </w:r>
            <w:r>
              <w:rPr>
                <w:rFonts w:hint="eastAsia" w:ascii="仿宋" w:hAnsi="仿宋" w:eastAsia="仿宋" w:cs="仿宋"/>
                <w:color w:val="000000"/>
                <w:sz w:val="24"/>
              </w:rPr>
              <w:t>简化为1个策略，并在每个关联分析策略添加时，将自带默认配置，降低关联分析策略的配置难度</w:t>
            </w:r>
          </w:p>
          <w:p>
            <w:pPr>
              <w:widowControl/>
              <w:ind w:firstLine="0" w:firstLine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2、关联分析引擎性优化</w:t>
            </w:r>
            <w:r>
              <w:rPr>
                <w:rFonts w:hint="eastAsia" w:ascii="仿宋" w:hAnsi="仿宋" w:eastAsia="仿宋" w:cs="仿宋"/>
                <w:color w:val="000000"/>
                <w:sz w:val="24"/>
                <w:lang w:eastAsia="zh-CN"/>
              </w:rPr>
              <w:t>。</w:t>
            </w:r>
          </w:p>
          <w:p>
            <w:pPr>
              <w:widowControl/>
              <w:ind w:firstLine="0" w:firstLineChars="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对关联分析引擎进行优化，提高实时分析效</w:t>
            </w:r>
            <w:r>
              <w:rPr>
                <w:rFonts w:hint="eastAsia" w:ascii="仿宋" w:hAnsi="仿宋" w:eastAsia="仿宋" w:cs="仿宋"/>
                <w:color w:val="000000"/>
                <w:sz w:val="24"/>
                <w:lang w:val="en-US" w:eastAsia="zh-CN"/>
              </w:rPr>
              <w:t>率</w:t>
            </w:r>
            <w:r>
              <w:rPr>
                <w:rFonts w:hint="eastAsia" w:ascii="仿宋" w:hAnsi="仿宋" w:eastAsia="仿宋" w:cs="仿宋"/>
                <w:color w:val="000000"/>
                <w:sz w:val="24"/>
                <w:lang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1258" w:type="pct"/>
            <w:noWrap/>
            <w:vAlign w:val="center"/>
          </w:tcPr>
          <w:p>
            <w:pPr>
              <w:widowControl/>
              <w:ind w:firstLine="0" w:firstLineChars="0"/>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白名单策略</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通过白名单策略对业务场景数据进行加白处理，并生成相应的安全告警</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自动研判为误报，当业务场景发生变更时能及时进行策略调整，提高了误报排查工作的便利性，场景维度如：</w:t>
            </w:r>
          </w:p>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1、部分业务网段内告警加白</w:t>
            </w:r>
          </w:p>
          <w:p>
            <w:pPr>
              <w:widowControl/>
              <w:ind w:firstLine="0" w:firstLineChars="0"/>
              <w:jc w:val="left"/>
              <w:textAlignment w:val="center"/>
              <w:rPr>
                <w:rFonts w:hint="eastAsia" w:ascii="仿宋" w:hAnsi="仿宋" w:eastAsia="仿宋" w:cs="仿宋"/>
                <w:sz w:val="24"/>
              </w:rPr>
            </w:pPr>
            <w:r>
              <w:rPr>
                <w:rFonts w:hint="eastAsia" w:ascii="仿宋" w:hAnsi="仿宋" w:eastAsia="仿宋" w:cs="仿宋"/>
                <w:color w:val="000000"/>
                <w:kern w:val="0"/>
                <w:sz w:val="24"/>
              </w:rPr>
              <w:t>2、部分设备告警加白</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1258" w:type="pct"/>
            <w:noWrap/>
            <w:vAlign w:val="center"/>
          </w:tcPr>
          <w:p>
            <w:pPr>
              <w:widowControl/>
              <w:ind w:firstLine="0" w:firstLineChars="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拓扑管理</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1、支持搭建资产拓扑，并对资产拓扑进行管理</w:t>
            </w:r>
            <w:r>
              <w:rPr>
                <w:rFonts w:hint="eastAsia" w:ascii="仿宋" w:hAnsi="仿宋" w:eastAsia="仿宋" w:cs="仿宋"/>
                <w:color w:val="000000"/>
                <w:kern w:val="0"/>
                <w:sz w:val="24"/>
                <w:lang w:eastAsia="zh-CN"/>
              </w:rPr>
              <w:t>。</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2、支持以拓扑监控维度进行溯源分析</w:t>
            </w:r>
            <w:r>
              <w:rPr>
                <w:rFonts w:hint="eastAsia" w:ascii="仿宋" w:hAnsi="仿宋" w:eastAsia="仿宋" w:cs="仿宋"/>
                <w:color w:val="000000"/>
                <w:kern w:val="0"/>
                <w:sz w:val="24"/>
                <w:lang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1258" w:type="pct"/>
            <w:noWrap/>
            <w:vAlign w:val="center"/>
          </w:tcPr>
          <w:p>
            <w:pPr>
              <w:widowControl/>
              <w:ind w:firstLine="0" w:firstLineChars="0"/>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运营</w:t>
            </w:r>
            <w:r>
              <w:rPr>
                <w:rFonts w:hint="eastAsia" w:ascii="仿宋" w:hAnsi="仿宋" w:eastAsia="仿宋" w:cs="仿宋"/>
                <w:color w:val="000000"/>
                <w:kern w:val="0"/>
                <w:sz w:val="24"/>
                <w:lang w:bidi="ar"/>
              </w:rPr>
              <w:t>数据共享</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提供平台间的数据共享能力：</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1、能够自定义共享数据内容</w:t>
            </w:r>
            <w:r>
              <w:rPr>
                <w:rFonts w:hint="eastAsia" w:ascii="仿宋" w:hAnsi="仿宋" w:eastAsia="仿宋" w:cs="仿宋"/>
                <w:color w:val="000000"/>
                <w:kern w:val="0"/>
                <w:sz w:val="24"/>
                <w:lang w:eastAsia="zh-CN"/>
              </w:rPr>
              <w:t>。</w:t>
            </w:r>
          </w:p>
          <w:p>
            <w:pPr>
              <w:widowControl/>
              <w:ind w:firstLine="0" w:firstLineChars="0"/>
              <w:jc w:val="left"/>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2、支持通过syslog、kafka进行主动推送，以及支持第三方平台通过api调用</w:t>
            </w:r>
            <w:r>
              <w:rPr>
                <w:rFonts w:hint="eastAsia" w:ascii="仿宋" w:hAnsi="仿宋" w:eastAsia="仿宋" w:cs="仿宋"/>
                <w:color w:val="000000"/>
                <w:kern w:val="0"/>
                <w:sz w:val="24"/>
                <w:lang w:val="en-US" w:eastAsia="zh-CN"/>
              </w:rPr>
              <w:t>获取数据。</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3、对数据共享行为进行可视化监控</w:t>
            </w:r>
            <w:r>
              <w:rPr>
                <w:rFonts w:hint="eastAsia" w:ascii="仿宋" w:hAnsi="仿宋" w:eastAsia="仿宋" w:cs="仿宋"/>
                <w:color w:val="000000"/>
                <w:kern w:val="0"/>
                <w:sz w:val="24"/>
                <w:lang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7</w:t>
            </w:r>
          </w:p>
        </w:tc>
        <w:tc>
          <w:tcPr>
            <w:tcW w:w="1258"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IP封堵模块</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1、支持历史IP封堵记录进行管理</w:t>
            </w:r>
            <w:r>
              <w:rPr>
                <w:rFonts w:hint="eastAsia" w:ascii="仿宋" w:hAnsi="仿宋" w:eastAsia="仿宋" w:cs="仿宋"/>
                <w:color w:val="000000"/>
                <w:kern w:val="0"/>
                <w:sz w:val="24"/>
                <w:lang w:eastAsia="zh-CN"/>
              </w:rPr>
              <w:t>。</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2、支持剧本封堵和人工批量导入IP进行封堵</w:t>
            </w:r>
            <w:r>
              <w:rPr>
                <w:rFonts w:hint="eastAsia" w:ascii="仿宋" w:hAnsi="仿宋" w:eastAsia="仿宋" w:cs="仿宋"/>
                <w:color w:val="000000"/>
                <w:kern w:val="0"/>
                <w:sz w:val="24"/>
                <w:lang w:eastAsia="zh-CN"/>
              </w:rPr>
              <w:t>。</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3、支持对封堵的IP进行解封，以及对封堵失败的IP再次执行封堵</w:t>
            </w:r>
            <w:r>
              <w:rPr>
                <w:rFonts w:hint="eastAsia" w:ascii="仿宋" w:hAnsi="仿宋" w:eastAsia="仿宋" w:cs="仿宋"/>
                <w:color w:val="000000"/>
                <w:kern w:val="0"/>
                <w:sz w:val="24"/>
                <w:lang w:eastAsia="zh-CN"/>
              </w:rPr>
              <w:t>。</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4、增加攻击次数统计、增加多种查询条件等</w:t>
            </w:r>
            <w:r>
              <w:rPr>
                <w:rFonts w:hint="eastAsia" w:ascii="仿宋" w:hAnsi="仿宋" w:eastAsia="仿宋" w:cs="仿宋"/>
                <w:color w:val="000000"/>
                <w:kern w:val="0"/>
                <w:sz w:val="24"/>
                <w:lang w:eastAsia="zh-CN"/>
              </w:rPr>
              <w:t>。</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5、对网关IP、基站IP增加标签，并添加相应查询条件</w:t>
            </w:r>
            <w:r>
              <w:rPr>
                <w:rFonts w:hint="eastAsia" w:ascii="仿宋" w:hAnsi="仿宋" w:eastAsia="仿宋" w:cs="仿宋"/>
                <w:color w:val="000000"/>
                <w:kern w:val="0"/>
                <w:sz w:val="24"/>
                <w:lang w:eastAsia="zh-CN"/>
              </w:rPr>
              <w:t>。</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6、对网关IP封堵对应相应时长，剧本</w:t>
            </w:r>
            <w:r>
              <w:rPr>
                <w:rFonts w:hint="eastAsia" w:ascii="仿宋" w:hAnsi="仿宋" w:eastAsia="仿宋" w:cs="仿宋"/>
                <w:color w:val="000000"/>
                <w:kern w:val="0"/>
                <w:sz w:val="24"/>
                <w:lang w:val="en-US" w:eastAsia="zh-CN"/>
              </w:rPr>
              <w:t>进行相应优化</w:t>
            </w:r>
            <w:r>
              <w:rPr>
                <w:rFonts w:hint="eastAsia" w:ascii="仿宋" w:hAnsi="仿宋" w:eastAsia="仿宋" w:cs="仿宋"/>
                <w:color w:val="000000"/>
                <w:kern w:val="0"/>
                <w:sz w:val="24"/>
                <w:lang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w:t>
            </w:r>
          </w:p>
        </w:tc>
        <w:tc>
          <w:tcPr>
            <w:tcW w:w="1258"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安全运营报表</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1、针对贵州农信现网安全事件，</w:t>
            </w:r>
            <w:r>
              <w:rPr>
                <w:rFonts w:hint="eastAsia" w:ascii="仿宋" w:hAnsi="仿宋" w:eastAsia="仿宋" w:cs="仿宋"/>
                <w:color w:val="000000"/>
                <w:kern w:val="0"/>
                <w:sz w:val="24"/>
                <w:lang w:val="en-US" w:eastAsia="zh-CN"/>
              </w:rPr>
              <w:t>支持</w:t>
            </w:r>
            <w:r>
              <w:rPr>
                <w:rFonts w:hint="eastAsia" w:ascii="仿宋" w:hAnsi="仿宋" w:eastAsia="仿宋" w:cs="仿宋"/>
                <w:color w:val="000000"/>
                <w:kern w:val="0"/>
                <w:sz w:val="24"/>
              </w:rPr>
              <w:t>多维度展示告警的来源以及威胁状态</w:t>
            </w:r>
            <w:r>
              <w:rPr>
                <w:rFonts w:hint="eastAsia" w:ascii="仿宋" w:hAnsi="仿宋" w:eastAsia="仿宋" w:cs="仿宋"/>
                <w:color w:val="000000"/>
                <w:kern w:val="0"/>
                <w:sz w:val="24"/>
                <w:lang w:eastAsia="zh-CN"/>
              </w:rPr>
              <w:t>。</w:t>
            </w:r>
          </w:p>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2、针对贵州农信日常安全效果对告警降噪效果、处置方式、自动化安全运营效果进行统计</w:t>
            </w:r>
            <w:r>
              <w:rPr>
                <w:rFonts w:hint="eastAsia" w:ascii="仿宋" w:hAnsi="仿宋" w:eastAsia="仿宋" w:cs="仿宋"/>
                <w:color w:val="000000"/>
                <w:kern w:val="0"/>
                <w:sz w:val="24"/>
                <w:lang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w:t>
            </w:r>
          </w:p>
        </w:tc>
        <w:tc>
          <w:tcPr>
            <w:tcW w:w="1258" w:type="pct"/>
            <w:noWrap/>
            <w:vAlign w:val="center"/>
          </w:tcPr>
          <w:p>
            <w:pPr>
              <w:widowControl/>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威胁研判列表</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针对贵州农信在日常安全威胁研判时使用习惯对威胁研判列表模块进行优化，如</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增加客户关注的常用字段，增加一键封堵、批量封堵等</w:t>
            </w:r>
            <w:r>
              <w:rPr>
                <w:rFonts w:hint="eastAsia" w:ascii="仿宋" w:hAnsi="仿宋" w:eastAsia="仿宋" w:cs="仿宋"/>
                <w:color w:val="000000"/>
                <w:kern w:val="0"/>
                <w:sz w:val="24"/>
                <w:lang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1258" w:type="pct"/>
            <w:noWrap/>
            <w:vAlign w:val="center"/>
          </w:tcPr>
          <w:p>
            <w:pPr>
              <w:widowControl/>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资产安全画像</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通过对接CMDB系统以及平台资产自发现能力，对资产进行风险暴露面梳理，如端口、组件、服务等，结合漏扫结果以及平台的漏洞版本库，对资产进行脆弱性评分，形成资产安全画像。</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1258" w:type="pct"/>
            <w:noWrap/>
            <w:vAlign w:val="center"/>
          </w:tcPr>
          <w:p>
            <w:pPr>
              <w:widowControl/>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自动基于网络拓扑溯源</w:t>
            </w:r>
          </w:p>
        </w:tc>
        <w:tc>
          <w:tcPr>
            <w:tcW w:w="2870" w:type="pct"/>
            <w:noWrap w:val="0"/>
            <w:vAlign w:val="center"/>
          </w:tcPr>
          <w:p>
            <w:pPr>
              <w:widowControl/>
              <w:ind w:firstLine="0" w:firstLineChars="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支持对接现场设备提供自动还原拓扑结构能力，并基于拓扑结构对攻击进行溯源，还原真实攻击路径</w:t>
            </w:r>
            <w:r>
              <w:rPr>
                <w:rFonts w:hint="eastAsia" w:ascii="仿宋" w:hAnsi="仿宋" w:eastAsia="仿宋" w:cs="仿宋"/>
                <w:color w:val="000000"/>
                <w:kern w:val="0"/>
                <w:sz w:val="24"/>
                <w:lang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w:t>
            </w:r>
          </w:p>
        </w:tc>
        <w:tc>
          <w:tcPr>
            <w:tcW w:w="1258"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第三方平台对接</w:t>
            </w:r>
          </w:p>
        </w:tc>
        <w:tc>
          <w:tcPr>
            <w:tcW w:w="2870" w:type="pct"/>
            <w:noWrap w:val="0"/>
            <w:vAlign w:val="center"/>
          </w:tcPr>
          <w:p>
            <w:pPr>
              <w:widowControl/>
              <w:numPr>
                <w:ilvl w:val="0"/>
                <w:numId w:val="0"/>
              </w:numPr>
              <w:jc w:val="left"/>
              <w:textAlignment w:val="center"/>
              <w:rPr>
                <w:rFonts w:hint="default"/>
                <w:lang w:val="en-US" w:eastAsia="zh-CN"/>
              </w:rPr>
            </w:pPr>
            <w:r>
              <w:rPr>
                <w:rFonts w:hint="eastAsia" w:ascii="仿宋" w:hAnsi="仿宋" w:eastAsia="仿宋" w:cs="仿宋"/>
                <w:color w:val="000000"/>
                <w:kern w:val="0"/>
                <w:sz w:val="24"/>
                <w:lang w:val="en-US" w:eastAsia="zh-CN"/>
              </w:rPr>
              <w:t>对接观山湖数据中心、贵安数据中心、灾备数据中心和第三方外联DDOS或防火墙实施IP地址封禁。</w:t>
            </w:r>
          </w:p>
        </w:tc>
        <w:tc>
          <w:tcPr>
            <w:tcW w:w="423" w:type="pct"/>
            <w:noWrap w:val="0"/>
            <w:vAlign w:val="center"/>
          </w:tcPr>
          <w:p>
            <w:pPr>
              <w:widowControl/>
              <w:ind w:firstLine="0" w:firstLine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13</w:t>
            </w:r>
          </w:p>
        </w:tc>
        <w:tc>
          <w:tcPr>
            <w:tcW w:w="1258" w:type="pct"/>
            <w:noWrap/>
            <w:vAlign w:val="center"/>
          </w:tcPr>
          <w:p>
            <w:pPr>
              <w:widowControl/>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原厂驻场安全运营服务</w:t>
            </w:r>
          </w:p>
        </w:tc>
        <w:tc>
          <w:tcPr>
            <w:tcW w:w="2870" w:type="pct"/>
            <w:noWrap w:val="0"/>
            <w:vAlign w:val="center"/>
          </w:tcPr>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工作内容描述：</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1、安全设备定期巡检：驻场人员定期对于态势平台进行安全巡检工作，及时针对大数据组件健康性等内容进行实时监测，确保态势感知大数据平台安全稳定运行。</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2、安全设备系统升级：当安全设备厂商发布了最新系统升级信息，且得到单位确认必须升级时，驻场人员对态势平台行同步升级，保证安全设备系统处于最新状态，安全设备系统版本一致。</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3、安全设备故障处理：设备故障分为软件故障和硬件故障。当驻场人员在日常监控过程中发现设备存在故障时，立即以电话的方式汇报给单位相关人员，并告知故障详细内容并截图记录，在得到单位相关人员确认并同意故障处理后，驻场人员协助单位相关人员进行故障处理。</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4、安全设备防护告警监测：通过分析态势感知产生的安全事件或日志信息，获取网络中存在的各类病毒、蠕虫、非法访问、攻击事件，并进行及时的处理。根据安全风险和安全问题情况有针对性地采取措施解决问题，配合及时进行策略调整和优化降低风险。</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5、安全漏洞整改跟踪：在漏洞整改过程中，驻场人员对漏洞整改情况进行详细跟踪和记录，并在修复工作完成之后，及时更新漏洞知识库。</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6、安全咨询支持：从安全的角度为其提供网络安全部署与部署流程的建议，积极参加应用系统上线前安全评审会，参与应用系统安全测试工作，并详细记录每项工作步骤和结果，并以邮件的形式汇报给单位相关人员。</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7、专业的安全建议</w:t>
            </w:r>
            <w:r>
              <w:rPr>
                <w:rFonts w:hint="eastAsia" w:ascii="仿宋" w:hAnsi="仿宋" w:eastAsia="仿宋" w:cs="仿宋"/>
                <w:color w:val="000000"/>
                <w:kern w:val="0"/>
                <w:sz w:val="24"/>
                <w:lang w:val="en-US" w:eastAsia="zh-CN"/>
              </w:rPr>
              <w:t>：根据贵州农信的攻击数据，提借专业的处理意见和建议，以期进一精准的处置攻击行为。</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8、数据分析模型规则优化：模型能力优化增强，通过结合省联社告警现状及业务情况在现有模型基础上进行进一步完善补齐，确保告警数据精准有效。</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9、数据告警分析及报表输出：驻场人员可对历史离线数据进行分析，对历史数据进行二次挖掘，发现隐藏异常行为；通过将现有告警与历史数据进行比对。驻场人员对于离线数据进行整理归纳，分析总结数据中关联性、时效性及与业务相关性，并定期离线数据分析处置报告，整体把控数据告警走向等内容。</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10、数据编排：驻场人员通过自定义编程创建特征，通过python等语言进行创建，并提供语言创建模板等信息，按照客户需求进行定制开发相关工作。</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11、数据推送：驻场人员通过对态势感知离线数据进行汇总整理并根据客户需求进行推送到SOAR等多平台，确保离线数据二次利用价值。</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12、重大保障时期协助监控省联社体系网络安全风险及事件，进行相应安全验证及应急响应，确保省联社网络安全。</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default" w:ascii="仿宋" w:hAnsi="仿宋" w:eastAsia="仿宋" w:cs="仿宋"/>
                <w:color w:val="000000"/>
                <w:kern w:val="0"/>
                <w:sz w:val="24"/>
                <w:lang w:val="en-US" w:eastAsia="zh-CN"/>
              </w:rPr>
              <w:t>1</w:t>
            </w:r>
            <w:r>
              <w:rPr>
                <w:rFonts w:hint="eastAsia" w:ascii="仿宋" w:hAnsi="仿宋" w:eastAsia="仿宋" w:cs="仿宋"/>
                <w:color w:val="000000"/>
                <w:kern w:val="0"/>
                <w:sz w:val="24"/>
                <w:lang w:val="en-US" w:eastAsia="zh-CN"/>
              </w:rPr>
              <w:t>3</w:t>
            </w:r>
            <w:r>
              <w:rPr>
                <w:rFonts w:hint="default" w:ascii="仿宋" w:hAnsi="仿宋" w:eastAsia="仿宋" w:cs="仿宋"/>
                <w:color w:val="000000"/>
                <w:kern w:val="0"/>
                <w:sz w:val="24"/>
                <w:lang w:val="en-US" w:eastAsia="zh-CN"/>
              </w:rPr>
              <w:t>、白名单策略梳理：结合现场告警数据与业务场景配置相应白名单策略</w:t>
            </w:r>
            <w:r>
              <w:rPr>
                <w:rFonts w:hint="eastAsia" w:ascii="仿宋" w:hAnsi="仿宋" w:eastAsia="仿宋" w:cs="仿宋"/>
                <w:color w:val="000000"/>
                <w:kern w:val="0"/>
                <w:sz w:val="24"/>
                <w:lang w:val="en-US" w:eastAsia="zh-CN"/>
              </w:rPr>
              <w:t>。</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14</w:t>
            </w:r>
            <w:r>
              <w:rPr>
                <w:rFonts w:hint="default" w:ascii="仿宋" w:hAnsi="仿宋" w:eastAsia="仿宋" w:cs="仿宋"/>
                <w:color w:val="000000"/>
                <w:kern w:val="0"/>
                <w:sz w:val="24"/>
                <w:lang w:val="en-US" w:eastAsia="zh-CN"/>
              </w:rPr>
              <w:t>、攻击特征梳理：结合现场告警梳理攻击特征</w:t>
            </w:r>
            <w:r>
              <w:rPr>
                <w:rFonts w:hint="eastAsia" w:ascii="仿宋" w:hAnsi="仿宋" w:eastAsia="仿宋" w:cs="仿宋"/>
                <w:color w:val="000000"/>
                <w:kern w:val="0"/>
                <w:sz w:val="24"/>
                <w:lang w:val="en-US" w:eastAsia="zh-CN"/>
              </w:rPr>
              <w:t>。</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bl>
    <w:p>
      <w:pPr>
        <w:pStyle w:val="2"/>
        <w:numPr>
          <w:ilvl w:val="0"/>
          <w:numId w:val="0"/>
        </w:numPr>
        <w:ind w:leftChars="0"/>
        <w:rPr>
          <w:rFonts w:hint="eastAsia" w:ascii="仿宋_GB2312" w:hAnsi="仿宋_GB2312" w:eastAsia="仿宋_GB2312" w:cs="仿宋_GB2312"/>
          <w:color w:val="auto"/>
        </w:rPr>
      </w:pPr>
      <w:bookmarkStart w:id="2" w:name="_Toc25718"/>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网络安全威胁情报系统</w:t>
      </w:r>
      <w:r>
        <w:rPr>
          <w:rFonts w:hint="eastAsia" w:ascii="仿宋_GB2312" w:hAnsi="仿宋_GB2312" w:eastAsia="仿宋_GB2312" w:cs="仿宋_GB2312"/>
          <w:color w:val="auto"/>
          <w:lang w:eastAsia="zh-CN"/>
        </w:rPr>
        <w:t>（微步）</w:t>
      </w:r>
      <w:r>
        <w:rPr>
          <w:rFonts w:hint="eastAsia" w:ascii="仿宋_GB2312" w:hAnsi="仿宋_GB2312" w:eastAsia="仿宋_GB2312" w:cs="仿宋_GB2312"/>
          <w:color w:val="auto"/>
        </w:rPr>
        <w:t>扩容采购清单</w:t>
      </w:r>
      <w:bookmarkEnd w:id="2"/>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633"/>
        <w:gridCol w:w="4403"/>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446" w:type="pct"/>
            <w:noWrap/>
            <w:vAlign w:val="center"/>
          </w:tcPr>
          <w:p>
            <w:pPr>
              <w:widowControl/>
              <w:ind w:firstLine="0" w:firstLineChars="0"/>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545" w:type="pct"/>
            <w:noWrap/>
            <w:vAlign w:val="center"/>
          </w:tcPr>
          <w:p>
            <w:pPr>
              <w:widowControl/>
              <w:ind w:firstLine="0" w:firstLineChars="0"/>
              <w:jc w:val="center"/>
              <w:textAlignment w:val="center"/>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模块</w:t>
            </w:r>
          </w:p>
        </w:tc>
        <w:tc>
          <w:tcPr>
            <w:tcW w:w="2584" w:type="pct"/>
            <w:noWrap w:val="0"/>
            <w:vAlign w:val="center"/>
          </w:tcPr>
          <w:p>
            <w:pPr>
              <w:widowControl/>
              <w:ind w:firstLine="0" w:firstLineChars="0"/>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参数描述</w:t>
            </w:r>
          </w:p>
        </w:tc>
        <w:tc>
          <w:tcPr>
            <w:tcW w:w="423" w:type="pct"/>
            <w:noWrap w:val="0"/>
            <w:vAlign w:val="center"/>
          </w:tcPr>
          <w:p>
            <w:pPr>
              <w:widowControl/>
              <w:ind w:firstLine="0" w:firstLineChars="0"/>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46" w:type="pct"/>
            <w:noWrap/>
            <w:vAlign w:val="center"/>
          </w:tcPr>
          <w:p>
            <w:pPr>
              <w:widowControl/>
              <w:ind w:firstLine="0" w:firstLineChars="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1545" w:type="pct"/>
            <w:noWrap/>
            <w:vAlign w:val="center"/>
          </w:tcPr>
          <w:p>
            <w:pPr>
              <w:widowControl/>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威胁情报管理</w:t>
            </w:r>
          </w:p>
        </w:tc>
        <w:tc>
          <w:tcPr>
            <w:tcW w:w="2584" w:type="pct"/>
            <w:noWrap w:val="0"/>
            <w:vAlign w:val="center"/>
          </w:tcPr>
          <w:p>
            <w:pPr>
              <w:widowControl/>
              <w:numPr>
                <w:ilvl w:val="0"/>
                <w:numId w:val="0"/>
              </w:numPr>
              <w:jc w:val="left"/>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1、失陷指标情报（IOC），支持每秒查询500条数据（500EPS）；</w:t>
            </w:r>
          </w:p>
          <w:p>
            <w:pPr>
              <w:widowControl/>
              <w:numPr>
                <w:ilvl w:val="0"/>
                <w:numId w:val="0"/>
              </w:numPr>
              <w:jc w:val="left"/>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r>
              <w:rPr>
                <w:rFonts w:hint="default" w:ascii="仿宋" w:hAnsi="仿宋" w:eastAsia="仿宋" w:cs="仿宋"/>
                <w:color w:val="000000"/>
                <w:kern w:val="0"/>
                <w:sz w:val="24"/>
                <w:lang w:val="en-US" w:eastAsia="zh-CN"/>
              </w:rPr>
              <w:t>全网IP信誉情报</w:t>
            </w:r>
            <w:r>
              <w:rPr>
                <w:rFonts w:hint="eastAsia" w:ascii="仿宋" w:hAnsi="仿宋" w:eastAsia="仿宋" w:cs="仿宋"/>
                <w:color w:val="000000"/>
                <w:kern w:val="0"/>
                <w:sz w:val="24"/>
                <w:lang w:val="en-US" w:eastAsia="zh-CN"/>
              </w:rPr>
              <w:t>，可支持每秒查询500条数据（500EPS）；</w:t>
            </w:r>
          </w:p>
        </w:tc>
        <w:tc>
          <w:tcPr>
            <w:tcW w:w="423" w:type="pct"/>
            <w:noWrap w:val="0"/>
            <w:vAlign w:val="center"/>
          </w:tcPr>
          <w:p>
            <w:pPr>
              <w:widowControl/>
              <w:ind w:firstLine="0" w:firstLineChars="0"/>
              <w:jc w:val="left"/>
              <w:textAlignment w:val="center"/>
              <w:rPr>
                <w:rFonts w:hint="eastAsia" w:ascii="仿宋" w:hAnsi="仿宋" w:eastAsia="仿宋" w:cs="仿宋"/>
                <w:color w:val="000000"/>
                <w:kern w:val="0"/>
                <w:sz w:val="24"/>
              </w:rPr>
            </w:pPr>
            <w:r>
              <w:rPr>
                <w:rFonts w:hint="eastAsia" w:ascii="仿宋" w:hAnsi="仿宋" w:eastAsia="仿宋" w:cs="仿宋"/>
                <w:color w:val="000000"/>
                <w:sz w:val="24"/>
              </w:rPr>
              <w:t>3年</w:t>
            </w:r>
          </w:p>
        </w:tc>
      </w:tr>
    </w:tbl>
    <w:p>
      <w:pPr>
        <w:rPr>
          <w:rFonts w:hint="eastAsia" w:ascii="仿宋_GB2312" w:hAnsi="仿宋_GB2312" w:eastAsia="仿宋_GB2312" w:cs="仿宋_GB2312"/>
          <w:sz w:val="32"/>
          <w:szCs w:val="32"/>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CBBF6"/>
    <w:multiLevelType w:val="singleLevel"/>
    <w:tmpl w:val="AB8CBBF6"/>
    <w:lvl w:ilvl="0" w:tentative="0">
      <w:start w:val="3"/>
      <w:numFmt w:val="decimal"/>
      <w:suff w:val="nothing"/>
      <w:lvlText w:val="%1、"/>
      <w:lvlJc w:val="left"/>
    </w:lvl>
  </w:abstractNum>
  <w:abstractNum w:abstractNumId="1">
    <w:nsid w:val="E69BDB89"/>
    <w:multiLevelType w:val="singleLevel"/>
    <w:tmpl w:val="E69BDB89"/>
    <w:lvl w:ilvl="0" w:tentative="0">
      <w:start w:val="1"/>
      <w:numFmt w:val="decimal"/>
      <w:suff w:val="nothing"/>
      <w:lvlText w:val="%1、"/>
      <w:lvlJc w:val="left"/>
    </w:lvl>
  </w:abstractNum>
  <w:abstractNum w:abstractNumId="2">
    <w:nsid w:val="6086A72C"/>
    <w:multiLevelType w:val="singleLevel"/>
    <w:tmpl w:val="6086A72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E5C1F"/>
    <w:rsid w:val="064F316E"/>
    <w:rsid w:val="72FE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2024-05-09T06:20:00Z</dcterms:created>
  <dc:creator>Administrator</dc:creator>
  <cp:lastModifiedBy>100171-石经</cp:lastModifiedBy>
  <dcterms:modified xsi:type="dcterms:W3CDTF">2024-05-10T14:38:49Z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