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rPr>
          <w:rFonts w:hint="eastAsia" w:ascii="方正大标宋简体" w:hAnsi="方正大标宋简体" w:eastAsia="方正大标宋简体" w:cs="方正大标宋简体"/>
          <w:sz w:val="44"/>
          <w:szCs w:val="44"/>
          <w:highlight w:val="none"/>
        </w:rPr>
      </w:pPr>
      <w:r>
        <w:rPr>
          <w:rFonts w:hint="eastAsia" w:ascii="宋体" w:hAnsi="宋体" w:eastAsia="宋体" w:cs="宋体"/>
          <w:sz w:val="32"/>
          <w:szCs w:val="32"/>
          <w:highlight w:val="none"/>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pPr>
    </w:p>
    <w:p>
      <w:pPr>
        <w:pStyle w:val="9"/>
        <w:rPr>
          <w:rFonts w:hint="eastAsia"/>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采购项目需求</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lang w:val="en-US" w:eastAsia="zh-CN"/>
        </w:rPr>
      </w:pPr>
    </w:p>
    <w:p>
      <w:pPr>
        <w:pStyle w:val="9"/>
        <w:rPr>
          <w:rFonts w:hint="eastAsia" w:ascii="方正小标宋简体" w:hAnsi="方正小标宋简体" w:eastAsia="方正小标宋简体" w:cs="方正小标宋简体"/>
          <w:sz w:val="44"/>
          <w:szCs w:val="44"/>
          <w:highlight w:val="none"/>
          <w:lang w:val="en-US" w:eastAsia="zh-CN"/>
        </w:rPr>
      </w:pPr>
    </w:p>
    <w:p>
      <w:pPr>
        <w:pStyle w:val="9"/>
        <w:rPr>
          <w:rFonts w:hint="eastAsia" w:ascii="方正小标宋简体" w:hAnsi="方正小标宋简体" w:eastAsia="方正小标宋简体" w:cs="方正小标宋简体"/>
          <w:sz w:val="44"/>
          <w:szCs w:val="44"/>
          <w:highlight w:val="none"/>
          <w:lang w:val="en-US" w:eastAsia="zh-CN"/>
        </w:rPr>
      </w:pPr>
    </w:p>
    <w:p>
      <w:pPr>
        <w:pStyle w:val="9"/>
        <w:rPr>
          <w:rFonts w:hint="eastAsia" w:ascii="方正小标宋简体" w:hAnsi="方正小标宋简体" w:eastAsia="方正小标宋简体" w:cs="方正小标宋简体"/>
          <w:sz w:val="44"/>
          <w:szCs w:val="44"/>
          <w:highlight w:val="none"/>
          <w:lang w:val="en-US" w:eastAsia="zh-CN"/>
        </w:rPr>
      </w:pPr>
    </w:p>
    <w:p>
      <w:pPr>
        <w:pStyle w:val="9"/>
        <w:rPr>
          <w:rFonts w:hint="eastAsia" w:ascii="方正小标宋简体" w:hAnsi="方正小标宋简体" w:eastAsia="方正小标宋简体" w:cs="方正小标宋简体"/>
          <w:b w:val="0"/>
          <w:bCs w:val="0"/>
          <w:sz w:val="40"/>
          <w:szCs w:val="40"/>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0"/>
          <w:szCs w:val="40"/>
          <w:highlight w:val="none"/>
        </w:rPr>
      </w:pPr>
      <w:r>
        <w:rPr>
          <w:rFonts w:hint="eastAsia" w:ascii="方正小标宋简体" w:hAnsi="方正小标宋简体" w:eastAsia="方正小标宋简体" w:cs="方正小标宋简体"/>
          <w:b w:val="0"/>
          <w:bCs w:val="0"/>
          <w:sz w:val="40"/>
          <w:szCs w:val="40"/>
          <w:highlight w:val="none"/>
        </w:rPr>
        <w:t>2024年信息科技审计服务</w:t>
      </w:r>
    </w:p>
    <w:p>
      <w:pPr>
        <w:keepNext w:val="0"/>
        <w:keepLines w:val="0"/>
        <w:pageBreakBefore w:val="0"/>
        <w:kinsoku/>
        <w:wordWrap/>
        <w:overflowPunct/>
        <w:topLinePunct w:val="0"/>
        <w:autoSpaceDE/>
        <w:autoSpaceDN/>
        <w:bidi w:val="0"/>
        <w:adjustRightInd/>
        <w:snapToGrid/>
        <w:spacing w:line="560" w:lineRule="exact"/>
        <w:jc w:val="center"/>
        <w:rPr>
          <w:rFonts w:ascii="方正大标宋简体" w:hAnsi="方正大标宋简体" w:eastAsia="方正大标宋简体" w:cs="方正大标宋简体"/>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outlineLvl w:val="0"/>
        <w:rPr>
          <w:rFonts w:hint="eastAsia" w:ascii="仿宋_GB2312" w:hAnsi="Times New Roman" w:eastAsia="仿宋_GB2312" w:cs="Times New Roman"/>
          <w:sz w:val="32"/>
          <w:szCs w:val="32"/>
          <w:highlight w:val="none"/>
          <w:lang w:eastAsia="zh-CN"/>
        </w:rPr>
      </w:pPr>
      <w:bookmarkStart w:id="0" w:name="_Toc60758346"/>
      <w:r>
        <w:rPr>
          <w:rFonts w:hint="eastAsia" w:ascii="黑体" w:hAnsi="黑体" w:eastAsia="黑体" w:cs="黑体"/>
          <w:b/>
          <w:bCs/>
          <w:sz w:val="32"/>
          <w:szCs w:val="32"/>
          <w:highlight w:val="none"/>
          <w:lang w:eastAsia="zh-CN"/>
        </w:rPr>
        <w:t>一</w:t>
      </w:r>
      <w:r>
        <w:rPr>
          <w:rFonts w:hint="eastAsia" w:ascii="黑体" w:hAnsi="黑体" w:eastAsia="黑体" w:cs="黑体"/>
          <w:b/>
          <w:bCs/>
          <w:sz w:val="32"/>
          <w:szCs w:val="32"/>
          <w:highlight w:val="none"/>
        </w:rPr>
        <w:t>、</w:t>
      </w:r>
      <w:bookmarkEnd w:id="0"/>
      <w:r>
        <w:rPr>
          <w:rFonts w:hint="eastAsia" w:ascii="黑体" w:hAnsi="黑体" w:eastAsia="黑体" w:cs="黑体"/>
          <w:b/>
          <w:bCs/>
          <w:sz w:val="32"/>
          <w:szCs w:val="32"/>
          <w:highlight w:val="none"/>
        </w:rPr>
        <w:t>项目概况</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default" w:ascii="仿宋_GB2312" w:hAnsi="Times New Roman" w:eastAsia="仿宋_GB2312" w:cs="Times New Roman"/>
          <w:sz w:val="32"/>
          <w:szCs w:val="32"/>
          <w:highlight w:val="none"/>
          <w:lang w:val="en-US" w:eastAsia="zh-CN"/>
        </w:rPr>
        <w:t>为</w:t>
      </w:r>
      <w:r>
        <w:rPr>
          <w:rFonts w:hint="eastAsia" w:ascii="仿宋_GB2312" w:hAnsi="Times New Roman" w:eastAsia="仿宋_GB2312" w:cs="Times New Roman"/>
          <w:sz w:val="32"/>
          <w:szCs w:val="32"/>
          <w:highlight w:val="none"/>
          <w:lang w:val="en-US" w:eastAsia="zh-CN"/>
        </w:rPr>
        <w:t>促进贵州农信持续提升</w:t>
      </w:r>
      <w:r>
        <w:rPr>
          <w:rFonts w:hint="eastAsia" w:ascii="仿宋_GB2312" w:hAnsi="Times New Roman" w:eastAsia="仿宋_GB2312" w:cs="Times New Roman"/>
          <w:sz w:val="32"/>
          <w:szCs w:val="32"/>
          <w:highlight w:val="none"/>
          <w:lang w:eastAsia="zh-CN"/>
        </w:rPr>
        <w:t>信息技术使用水平，</w:t>
      </w:r>
      <w:r>
        <w:rPr>
          <w:rFonts w:hint="eastAsia" w:ascii="仿宋_GB2312" w:hAnsi="Times New Roman" w:eastAsia="仿宋_GB2312" w:cs="Times New Roman"/>
          <w:sz w:val="32"/>
          <w:szCs w:val="32"/>
          <w:highlight w:val="none"/>
          <w:lang w:val="en-US" w:eastAsia="zh-CN"/>
        </w:rPr>
        <w:t>保障</w:t>
      </w:r>
      <w:r>
        <w:rPr>
          <w:rFonts w:hint="eastAsia" w:ascii="仿宋_GB2312" w:hAnsi="Times New Roman" w:eastAsia="仿宋_GB2312" w:cs="Times New Roman"/>
          <w:sz w:val="32"/>
          <w:szCs w:val="32"/>
          <w:highlight w:val="none"/>
          <w:lang w:eastAsia="zh-CN"/>
        </w:rPr>
        <w:t>信息系统服务</w:t>
      </w:r>
      <w:r>
        <w:rPr>
          <w:rFonts w:hint="eastAsia" w:ascii="仿宋_GB2312" w:hAnsi="Times New Roman" w:eastAsia="仿宋_GB2312" w:cs="Times New Roman"/>
          <w:sz w:val="32"/>
          <w:szCs w:val="32"/>
          <w:highlight w:val="none"/>
          <w:lang w:val="en-US" w:eastAsia="zh-CN"/>
        </w:rPr>
        <w:t>的连续性，</w:t>
      </w:r>
      <w:r>
        <w:rPr>
          <w:rFonts w:hint="default" w:ascii="仿宋_GB2312" w:hAnsi="Times New Roman" w:eastAsia="仿宋_GB2312" w:cs="Times New Roman"/>
          <w:sz w:val="32"/>
          <w:szCs w:val="32"/>
          <w:highlight w:val="none"/>
          <w:lang w:val="en-US" w:eastAsia="zh-CN"/>
        </w:rPr>
        <w:t>根据《商业银行信息科技风险管理指引》（银监发〔2009〕19号）《商业银行业务连续性监管指引》（银监发〔2011〕104号）《银行保险机构信息科技外包风险监管办法》（银保监办法〔2021〕141号）等相关规定，202</w:t>
      </w:r>
      <w:r>
        <w:rPr>
          <w:rFonts w:hint="eastAsia" w:ascii="仿宋_GB2312" w:hAnsi="Times New Roman" w:eastAsia="仿宋_GB2312" w:cs="Times New Roman"/>
          <w:sz w:val="32"/>
          <w:szCs w:val="32"/>
          <w:highlight w:val="none"/>
          <w:lang w:val="en-US" w:eastAsia="zh-CN"/>
        </w:rPr>
        <w:t>4</w:t>
      </w:r>
      <w:r>
        <w:rPr>
          <w:rFonts w:hint="default" w:ascii="仿宋_GB2312" w:hAnsi="Times New Roman" w:eastAsia="仿宋_GB2312" w:cs="Times New Roman"/>
          <w:sz w:val="32"/>
          <w:szCs w:val="32"/>
          <w:highlight w:val="none"/>
          <w:lang w:val="en-US" w:eastAsia="zh-CN"/>
        </w:rPr>
        <w:t>年度拟委托外部专业机构对省联社实施</w:t>
      </w:r>
      <w:r>
        <w:rPr>
          <w:rFonts w:hint="eastAsia" w:ascii="仿宋_GB2312" w:hAnsi="Times New Roman" w:eastAsia="仿宋_GB2312" w:cs="Times New Roman"/>
          <w:sz w:val="32"/>
          <w:szCs w:val="32"/>
          <w:highlight w:val="none"/>
          <w:lang w:val="en-US" w:eastAsia="zh-CN"/>
        </w:rPr>
        <w:t>技术服务人力资源外包</w:t>
      </w:r>
      <w:r>
        <w:rPr>
          <w:rFonts w:hint="default" w:ascii="仿宋_GB2312" w:hAnsi="Times New Roman" w:eastAsia="仿宋_GB2312" w:cs="Times New Roman"/>
          <w:sz w:val="32"/>
          <w:szCs w:val="32"/>
          <w:highlight w:val="none"/>
          <w:lang w:val="en-US" w:eastAsia="zh-CN"/>
        </w:rPr>
        <w:t>专项审计、测试外包管理专项审计、信息系统开发变更及项目管理专项审计、重要信息科技外包项目管理专项审计、科技项目后评价专项审计、信息安全管理专项审计、业务连续性管理</w:t>
      </w:r>
      <w:r>
        <w:rPr>
          <w:rFonts w:hint="eastAsia" w:ascii="仿宋_GB2312" w:hAnsi="Times New Roman" w:eastAsia="仿宋_GB2312" w:cs="Times New Roman"/>
          <w:sz w:val="32"/>
          <w:szCs w:val="32"/>
          <w:highlight w:val="none"/>
          <w:lang w:val="en-US" w:eastAsia="zh-CN"/>
        </w:rPr>
        <w:t>全面</w:t>
      </w:r>
      <w:r>
        <w:rPr>
          <w:rFonts w:hint="default" w:ascii="仿宋_GB2312" w:hAnsi="Times New Roman" w:eastAsia="仿宋_GB2312" w:cs="Times New Roman"/>
          <w:sz w:val="32"/>
          <w:szCs w:val="32"/>
          <w:highlight w:val="none"/>
          <w:lang w:val="en-US" w:eastAsia="zh-CN"/>
        </w:rPr>
        <w:t>审计等7项科技审计，审</w:t>
      </w:r>
      <w:r>
        <w:rPr>
          <w:rFonts w:hint="eastAsia" w:ascii="仿宋_GB2312" w:hAnsi="Times New Roman" w:eastAsia="仿宋_GB2312" w:cs="Times New Roman"/>
          <w:sz w:val="32"/>
          <w:szCs w:val="32"/>
          <w:highlight w:val="none"/>
          <w:lang w:val="en-US" w:eastAsia="zh-CN"/>
        </w:rPr>
        <w:t>计方法包括但不限于资料审阅、人员访谈、现场查验、技术测试等。</w:t>
      </w:r>
    </w:p>
    <w:p>
      <w:pPr>
        <w:keepNext w:val="0"/>
        <w:keepLines w:val="0"/>
        <w:pageBreakBefore w:val="0"/>
        <w:kinsoku/>
        <w:wordWrap/>
        <w:overflowPunct/>
        <w:topLinePunct w:val="0"/>
        <w:autoSpaceDE/>
        <w:autoSpaceDN/>
        <w:bidi w:val="0"/>
        <w:adjustRightInd/>
        <w:snapToGrid/>
        <w:spacing w:line="560" w:lineRule="exact"/>
        <w:outlineLvl w:val="0"/>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二、采购内容</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default" w:ascii="仿宋_GB2312" w:hAnsi="Times New Roman" w:eastAsia="仿宋_GB2312" w:cs="Times New Roman"/>
          <w:sz w:val="32"/>
          <w:szCs w:val="32"/>
          <w:highlight w:val="none"/>
          <w:lang w:val="en-US" w:eastAsia="zh-CN"/>
        </w:rPr>
        <w:t>为</w:t>
      </w:r>
      <w:r>
        <w:rPr>
          <w:rFonts w:hint="eastAsia" w:ascii="仿宋_GB2312" w:hAnsi="Times New Roman" w:eastAsia="仿宋_GB2312" w:cs="Times New Roman"/>
          <w:sz w:val="32"/>
          <w:szCs w:val="32"/>
          <w:highlight w:val="none"/>
          <w:lang w:val="en-US" w:eastAsia="zh-CN"/>
        </w:rPr>
        <w:t>促进贵州农信持续提升信息技术使用水平，保障信息系统服务的连续性，</w:t>
      </w:r>
      <w:r>
        <w:rPr>
          <w:rFonts w:hint="default" w:ascii="仿宋_GB2312" w:hAnsi="Times New Roman" w:eastAsia="仿宋_GB2312" w:cs="Times New Roman"/>
          <w:sz w:val="32"/>
          <w:szCs w:val="32"/>
          <w:highlight w:val="none"/>
          <w:lang w:val="en-US" w:eastAsia="zh-CN"/>
        </w:rPr>
        <w:t>根据《商业银行信息科技风险管理指引》（银监发〔2009〕19号）《商业银行业务连续性监管指引》（银监发〔2011〕104号）《银行保险机构信息科技外包风险监管办法》（银保监办法〔2021〕141号）等相关规定，202</w:t>
      </w:r>
      <w:r>
        <w:rPr>
          <w:rFonts w:hint="eastAsia" w:ascii="仿宋_GB2312" w:hAnsi="Times New Roman" w:eastAsia="仿宋_GB2312" w:cs="Times New Roman"/>
          <w:sz w:val="32"/>
          <w:szCs w:val="32"/>
          <w:highlight w:val="none"/>
          <w:lang w:val="en-US" w:eastAsia="zh-CN"/>
        </w:rPr>
        <w:t>4</w:t>
      </w:r>
      <w:r>
        <w:rPr>
          <w:rFonts w:hint="default" w:ascii="仿宋_GB2312" w:hAnsi="Times New Roman" w:eastAsia="仿宋_GB2312" w:cs="Times New Roman"/>
          <w:sz w:val="32"/>
          <w:szCs w:val="32"/>
          <w:highlight w:val="none"/>
          <w:lang w:val="en-US" w:eastAsia="zh-CN"/>
        </w:rPr>
        <w:t>年度拟委托外部专业机构对省联社实施</w:t>
      </w:r>
      <w:r>
        <w:rPr>
          <w:rFonts w:hint="eastAsia" w:ascii="仿宋_GB2312" w:hAnsi="Times New Roman" w:eastAsia="仿宋_GB2312" w:cs="Times New Roman"/>
          <w:sz w:val="32"/>
          <w:szCs w:val="32"/>
          <w:highlight w:val="none"/>
          <w:lang w:val="en-US" w:eastAsia="zh-CN"/>
        </w:rPr>
        <w:t>技术服务人力资源外包</w:t>
      </w:r>
      <w:r>
        <w:rPr>
          <w:rFonts w:hint="default" w:ascii="仿宋_GB2312" w:hAnsi="Times New Roman" w:eastAsia="仿宋_GB2312" w:cs="Times New Roman"/>
          <w:sz w:val="32"/>
          <w:szCs w:val="32"/>
          <w:highlight w:val="none"/>
          <w:lang w:val="en-US" w:eastAsia="zh-CN"/>
        </w:rPr>
        <w:t>专项审计、测试外包管理专项审计、信息系统开发变更及项目管理专项审计、重要信息科技外包项目管理专项审计、科技项目后评价专项审计、信息安全管理专项审计、业务连续性管理</w:t>
      </w:r>
      <w:r>
        <w:rPr>
          <w:rFonts w:hint="eastAsia" w:ascii="仿宋_GB2312" w:hAnsi="Times New Roman" w:eastAsia="仿宋_GB2312" w:cs="Times New Roman"/>
          <w:sz w:val="32"/>
          <w:szCs w:val="32"/>
          <w:highlight w:val="none"/>
          <w:lang w:val="en-US" w:eastAsia="zh-CN"/>
        </w:rPr>
        <w:t>全面</w:t>
      </w:r>
      <w:r>
        <w:rPr>
          <w:rFonts w:hint="default" w:ascii="仿宋_GB2312" w:hAnsi="Times New Roman" w:eastAsia="仿宋_GB2312" w:cs="Times New Roman"/>
          <w:sz w:val="32"/>
          <w:szCs w:val="32"/>
          <w:highlight w:val="none"/>
          <w:lang w:val="en-US" w:eastAsia="zh-CN"/>
        </w:rPr>
        <w:t>审计等7项科技审计，审</w:t>
      </w:r>
      <w:r>
        <w:rPr>
          <w:rFonts w:hint="eastAsia" w:ascii="仿宋_GB2312" w:hAnsi="Times New Roman" w:eastAsia="仿宋_GB2312" w:cs="Times New Roman"/>
          <w:sz w:val="32"/>
          <w:szCs w:val="32"/>
          <w:highlight w:val="none"/>
          <w:lang w:val="en-US" w:eastAsia="zh-CN"/>
        </w:rPr>
        <w:t>计方法包括但不限于资料审阅、人员访谈、现场查验、技术测试等。</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（一）技术服务人力资源外包专项审计</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对贵州农信省联社技术服务人力资源外包管理情况进行专项审计，统计2023年度人力外包总体实施情况（包括但不限于项目数、项目类别、项目费用、预算执行情况、各等级人均费用、合同执行、集中度等），抽选2个具体人力外包项目全流程进行审计，重点查看需求与工作量估算、外包准入、人员管理及考核、外包风险管理等重点环节是否符合《银行保险机构信息科技外包风险监管办法》（银保监办发〔2021〕141号）等监管制度及内部规定，评价其合规性和有效性，深入分析人力外包外包管理过程中存在的问题，并针对性地提出切实可行整改措施及建议，出具《贵州省农村信用社技术服务人力资源外包专项审计报告》。</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（二）测试外包管理专项审计</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对贵州农信省联社测试外包管理情况进行专项审计，统计2023年度软件外包测试总体实施情况（包括但不限于项目数、项目费用、预算执行情况、各等级人均费用、合同执行、集中度等），抽选2个具体外包测试项目全流程进行审计，重点查看测试需求管理、测试大纲编写、测试用例编写、测试记录管理、测试质量管理、缺陷修复验证、测试风险管理、测试报告管理等重点环节是否按照《就绪可用软件产品（RUSP）的质量要求和测试细则》（GBT25000.51-2016）等标准、监管制度及内部规定执行，评价其合规性和有效性，深入分析测试外包管理过程中存在的问题，并针对性地提出切实可行整改措施及建议，出具《贵州省农村信用社测试外包专项审计报告》。</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（三</w:t>
      </w:r>
      <w:bookmarkStart w:id="1" w:name="_GoBack"/>
      <w:bookmarkEnd w:id="1"/>
      <w:r>
        <w:rPr>
          <w:rFonts w:hint="eastAsia" w:ascii="仿宋_GB2312" w:hAnsi="Times New Roman" w:eastAsia="仿宋_GB2312" w:cs="Times New Roman"/>
          <w:sz w:val="32"/>
          <w:szCs w:val="32"/>
          <w:highlight w:val="none"/>
          <w:lang w:val="en-US" w:eastAsia="zh-CN"/>
        </w:rPr>
        <w:t>）信息系统开发变更及项目管理专项审计</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抽取2023年已完成投产上线一个重要信息系统实施开发变更及项目管理专项审计</w:t>
      </w:r>
      <w:r>
        <w:rPr>
          <w:rFonts w:hint="default" w:ascii="仿宋_GB2312" w:hAnsi="Times New Roman" w:eastAsia="仿宋_GB2312" w:cs="Times New Roman"/>
          <w:sz w:val="32"/>
          <w:szCs w:val="32"/>
          <w:highlight w:val="none"/>
          <w:lang w:val="en-US" w:eastAsia="zh-CN"/>
        </w:rPr>
        <w:t>，主要</w:t>
      </w:r>
      <w:r>
        <w:rPr>
          <w:rFonts w:hint="eastAsia" w:ascii="仿宋_GB2312" w:hAnsi="Times New Roman" w:eastAsia="仿宋_GB2312" w:cs="Times New Roman"/>
          <w:sz w:val="32"/>
          <w:szCs w:val="32"/>
          <w:highlight w:val="none"/>
          <w:lang w:val="en-US" w:eastAsia="zh-CN"/>
        </w:rPr>
        <w:t>对重要信息</w:t>
      </w:r>
      <w:r>
        <w:rPr>
          <w:rFonts w:hint="default" w:ascii="仿宋_GB2312" w:hAnsi="Times New Roman" w:eastAsia="仿宋_GB2312" w:cs="Times New Roman"/>
          <w:sz w:val="32"/>
          <w:szCs w:val="32"/>
          <w:highlight w:val="none"/>
          <w:lang w:val="en-US" w:eastAsia="zh-CN"/>
        </w:rPr>
        <w:t>系统</w:t>
      </w:r>
      <w:r>
        <w:rPr>
          <w:rFonts w:hint="eastAsia" w:ascii="仿宋_GB2312" w:hAnsi="Times New Roman" w:eastAsia="仿宋_GB2312" w:cs="Times New Roman"/>
          <w:sz w:val="32"/>
          <w:szCs w:val="32"/>
          <w:highlight w:val="none"/>
          <w:lang w:val="en-US" w:eastAsia="zh-CN"/>
        </w:rPr>
        <w:t>开发、</w:t>
      </w:r>
      <w:r>
        <w:rPr>
          <w:rFonts w:hint="default" w:ascii="仿宋_GB2312" w:hAnsi="Times New Roman" w:eastAsia="仿宋_GB2312" w:cs="Times New Roman"/>
          <w:sz w:val="32"/>
          <w:szCs w:val="32"/>
          <w:highlight w:val="none"/>
          <w:lang w:val="en-US" w:eastAsia="zh-CN"/>
        </w:rPr>
        <w:t>投产</w:t>
      </w:r>
      <w:r>
        <w:rPr>
          <w:rFonts w:hint="eastAsia" w:ascii="仿宋_GB2312" w:hAnsi="Times New Roman" w:eastAsia="仿宋_GB2312" w:cs="Times New Roman"/>
          <w:sz w:val="32"/>
          <w:szCs w:val="32"/>
          <w:highlight w:val="none"/>
          <w:lang w:val="en-US" w:eastAsia="zh-CN"/>
        </w:rPr>
        <w:t>、</w:t>
      </w:r>
      <w:r>
        <w:rPr>
          <w:rFonts w:hint="default" w:ascii="仿宋_GB2312" w:hAnsi="Times New Roman" w:eastAsia="仿宋_GB2312" w:cs="Times New Roman"/>
          <w:sz w:val="32"/>
          <w:szCs w:val="32"/>
          <w:highlight w:val="none"/>
          <w:lang w:val="en-US" w:eastAsia="zh-CN"/>
        </w:rPr>
        <w:t>变更管理</w:t>
      </w:r>
      <w:r>
        <w:rPr>
          <w:rFonts w:hint="eastAsia" w:ascii="仿宋_GB2312" w:hAnsi="Times New Roman" w:eastAsia="仿宋_GB2312" w:cs="Times New Roman"/>
          <w:sz w:val="32"/>
          <w:szCs w:val="32"/>
          <w:highlight w:val="none"/>
          <w:lang w:val="en-US" w:eastAsia="zh-CN"/>
        </w:rPr>
        <w:t>及项目管理等系统生命周期管理情况开展</w:t>
      </w:r>
      <w:r>
        <w:rPr>
          <w:rFonts w:hint="default" w:ascii="仿宋_GB2312" w:hAnsi="Times New Roman" w:eastAsia="仿宋_GB2312" w:cs="Times New Roman"/>
          <w:sz w:val="32"/>
          <w:szCs w:val="32"/>
          <w:highlight w:val="none"/>
          <w:lang w:val="en-US" w:eastAsia="zh-CN"/>
        </w:rPr>
        <w:t>审计</w:t>
      </w:r>
      <w:r>
        <w:rPr>
          <w:rFonts w:hint="eastAsia" w:ascii="仿宋_GB2312" w:hAnsi="Times New Roman" w:eastAsia="仿宋_GB2312" w:cs="Times New Roman"/>
          <w:sz w:val="32"/>
          <w:szCs w:val="32"/>
          <w:highlight w:val="none"/>
          <w:lang w:val="en-US" w:eastAsia="zh-CN"/>
        </w:rPr>
        <w:t>，综合分析系统开发、变更、投产及项目管理等环节存在的风险及问题，并针对性地提出切实可行整改措施建议，出具《贵州省农村信用社信息系统开发变更及项目管理专项审计报告》。</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（四）重要信息科技外包项目管理专项审计</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主要根据《银行保险机构信息科技外包风险监管办法》（银保监办发〔2021〕141号）规定，对贵州农信信息科技重要外包管理进行全覆盖审计，重点对外包组织架构、外包战略、外包服务准入、外包人员考核、外包服务评价等外包活动管理进行审计评价，指出科技外包管理中存在的风险或问题，针对性地提出切实可行整改措施建议，出具《贵州省农村信用社信息科技重要外包管理专项审计报告》。</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（五）科技项目后评价专项审计</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抽选截至审计时点已投产上线至少一年以上的1个系统开发项目进行</w:t>
      </w:r>
      <w:r>
        <w:rPr>
          <w:rFonts w:hint="default" w:ascii="仿宋_GB2312" w:hAnsi="Times New Roman" w:eastAsia="仿宋_GB2312" w:cs="Times New Roman"/>
          <w:sz w:val="32"/>
          <w:szCs w:val="32"/>
          <w:highlight w:val="none"/>
          <w:lang w:val="en-US" w:eastAsia="zh-CN"/>
        </w:rPr>
        <w:t>后评价审计，综合分析系统建设</w:t>
      </w:r>
      <w:r>
        <w:rPr>
          <w:rFonts w:hint="eastAsia" w:ascii="仿宋_GB2312" w:hAnsi="Times New Roman" w:eastAsia="仿宋_GB2312" w:cs="Times New Roman"/>
          <w:sz w:val="32"/>
          <w:szCs w:val="32"/>
          <w:highlight w:val="none"/>
          <w:lang w:val="en-US" w:eastAsia="zh-CN"/>
        </w:rPr>
        <w:t>是否实现</w:t>
      </w:r>
      <w:r>
        <w:rPr>
          <w:rFonts w:hint="default" w:ascii="仿宋_GB2312" w:hAnsi="Times New Roman" w:eastAsia="仿宋_GB2312" w:cs="Times New Roman"/>
          <w:sz w:val="32"/>
          <w:szCs w:val="32"/>
          <w:highlight w:val="none"/>
          <w:lang w:val="en-US" w:eastAsia="zh-CN"/>
        </w:rPr>
        <w:t>预期目标</w:t>
      </w:r>
      <w:r>
        <w:rPr>
          <w:rFonts w:hint="eastAsia" w:ascii="仿宋_GB2312" w:hAnsi="Times New Roman" w:eastAsia="仿宋_GB2312" w:cs="Times New Roman"/>
          <w:sz w:val="32"/>
          <w:szCs w:val="32"/>
          <w:highlight w:val="none"/>
          <w:lang w:val="en-US" w:eastAsia="zh-CN"/>
        </w:rPr>
        <w:t>、用户</w:t>
      </w:r>
      <w:r>
        <w:rPr>
          <w:rFonts w:hint="default" w:ascii="仿宋_GB2312" w:hAnsi="Times New Roman" w:eastAsia="仿宋_GB2312" w:cs="Times New Roman"/>
          <w:sz w:val="32"/>
          <w:szCs w:val="32"/>
          <w:highlight w:val="none"/>
          <w:lang w:val="en-US" w:eastAsia="zh-CN"/>
        </w:rPr>
        <w:t>使用效果等，</w:t>
      </w:r>
      <w:r>
        <w:rPr>
          <w:rFonts w:hint="eastAsia" w:ascii="仿宋_GB2312" w:hAnsi="Times New Roman" w:eastAsia="仿宋_GB2312" w:cs="Times New Roman"/>
          <w:sz w:val="32"/>
          <w:szCs w:val="32"/>
          <w:highlight w:val="none"/>
          <w:lang w:val="en-US" w:eastAsia="zh-CN"/>
        </w:rPr>
        <w:t>评估其经济性和效率性，</w:t>
      </w:r>
      <w:r>
        <w:rPr>
          <w:rFonts w:hint="default" w:ascii="仿宋_GB2312" w:hAnsi="Times New Roman" w:eastAsia="仿宋_GB2312" w:cs="Times New Roman"/>
          <w:sz w:val="32"/>
          <w:szCs w:val="32"/>
          <w:highlight w:val="none"/>
          <w:lang w:val="en-US" w:eastAsia="zh-CN"/>
        </w:rPr>
        <w:t>提出相应的切实可行整改措施建议，出具《贵州省农村信用社系统上线后评价专项审计报告》。</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（六）信息安全管理专项审计</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主要根据《中华人民共和国网络安全法》《中华人民共和国数据安全法》《关键信息基础设施安全保护条例》《金融行业网络安全等级保护实施指引》等法律法规及规章制度，对贵州农信信息安全组织架构、制度建设、意识培训、事件管理、人员管理、物理安全、主机安全、网络安全、数据库安全、应用安全、安全研发流程等重点管理环节进行审计评价，深入分析信息安全管理及技术防护等方面存在的短板和不足，提出相应的切实可行整改措施建议，出具《贵州省农村信用社信息安全管理专项审计报告》。</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（七）业务连续性管理全面审计</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主要根据《商业银行业务连续性监管指引》（银监发〔2011〕104号）第58条要求，对贵州农信开展业务连续性管理全面审计，重点审计业务影响分析、风险评估、恢复策略及恢复目标的合理性和完整性；业务连续性计划的完整性和可操作性；业务连续性计划演练过程及报告的真实性和有效性；业务连续性管理相关部门及人员的履职情况等，督促相关部门不断提升业务连续性管理能力和水平，保障业务连续性管理体系持续改进和不断完善。深入分析业务连续性管理过程中存在的薄弱环节和不足，针对性地提出切实可行整改措施建议，出具《贵州省农村信用社业务连续性管理全面审计报告》。</w:t>
      </w:r>
    </w:p>
    <w:p>
      <w:pPr>
        <w:spacing w:line="560" w:lineRule="exact"/>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二</w:t>
      </w:r>
      <w:r>
        <w:rPr>
          <w:rFonts w:hint="eastAsia" w:ascii="黑体" w:hAnsi="黑体" w:eastAsia="黑体" w:cs="Times New Roman"/>
          <w:sz w:val="32"/>
          <w:szCs w:val="32"/>
          <w:highlight w:val="none"/>
        </w:rPr>
        <w:t>、</w:t>
      </w:r>
      <w:r>
        <w:rPr>
          <w:rFonts w:hint="eastAsia" w:ascii="黑体" w:hAnsi="黑体" w:eastAsia="黑体" w:cs="Times New Roman"/>
          <w:sz w:val="32"/>
          <w:szCs w:val="32"/>
          <w:highlight w:val="none"/>
          <w:lang w:eastAsia="zh-CN"/>
        </w:rPr>
        <w:t>技术或</w:t>
      </w:r>
      <w:r>
        <w:rPr>
          <w:rFonts w:hint="eastAsia" w:ascii="黑体" w:hAnsi="黑体" w:eastAsia="黑体" w:cs="Times New Roman"/>
          <w:sz w:val="32"/>
          <w:szCs w:val="32"/>
          <w:highlight w:val="none"/>
          <w:lang w:val="en-US" w:eastAsia="zh-CN"/>
        </w:rPr>
        <w:t>服务</w:t>
      </w:r>
      <w:r>
        <w:rPr>
          <w:rFonts w:hint="eastAsia" w:ascii="黑体" w:hAnsi="黑体" w:eastAsia="黑体" w:cs="Times New Roman"/>
          <w:sz w:val="32"/>
          <w:szCs w:val="32"/>
          <w:highlight w:val="none"/>
        </w:rPr>
        <w:t>需求</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r>
        <w:rPr>
          <w:rFonts w:hint="default" w:ascii="仿宋_GB2312" w:hAnsi="Times New Roman"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lang w:val="en-US" w:eastAsia="zh-CN"/>
        </w:rPr>
        <w:t>一</w:t>
      </w:r>
      <w:r>
        <w:rPr>
          <w:rFonts w:hint="default" w:ascii="仿宋_GB2312" w:hAnsi="Times New Roman" w:eastAsia="仿宋_GB2312" w:cs="Times New Roman"/>
          <w:sz w:val="32"/>
          <w:szCs w:val="32"/>
          <w:highlight w:val="none"/>
          <w:lang w:val="en-US" w:eastAsia="zh-CN"/>
        </w:rPr>
        <w:t>）技术标准</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default" w:ascii="仿宋_GB2312" w:hAnsi="Times New Roman" w:eastAsia="仿宋_GB2312" w:cs="Times New Roman"/>
          <w:sz w:val="32"/>
          <w:szCs w:val="32"/>
          <w:highlight w:val="none"/>
          <w:lang w:val="en-US" w:eastAsia="zh-CN"/>
        </w:rPr>
        <w:t>投标方应遵循国际标准、国家标准、银行业及银监标准、工信部、贵州省农村信用社联合社颁布的标准（包括标准、制度、规范、管理办法）开展本项目工作，本项目所有成果应符合上述标准要求。所用的标准必须是最新版本，如果这些标准的内容有矛盾时，应按照最高标准的条款执行或按双方协商同意的标准或条款执行。相关标准包括但不限于《银行业金融机构内部审计指引》《商业银行信息科技风险管理指引》《商业银行业务连续性监管指引》《银行业金融机构信息科技外包风险监管指引》《银行业金融机构重要信息系统投产及变更管理办法》《质量管理与质量保证标准》《项</w:t>
      </w:r>
      <w:r>
        <w:rPr>
          <w:rFonts w:hint="eastAsia" w:ascii="仿宋_GB2312" w:hAnsi="Times New Roman" w:eastAsia="仿宋_GB2312" w:cs="Times New Roman"/>
          <w:sz w:val="32"/>
          <w:szCs w:val="32"/>
          <w:highlight w:val="none"/>
          <w:lang w:val="en-US" w:eastAsia="zh-CN"/>
        </w:rPr>
        <w:t>目管理质量指南》。</w:t>
      </w:r>
      <w:r>
        <w:rPr>
          <w:rFonts w:hint="eastAsia" w:ascii="仿宋_GB2312" w:hAnsi="Times New Roman" w:eastAsia="仿宋_GB2312" w:cs="Times New Roman"/>
          <w:sz w:val="32"/>
          <w:szCs w:val="32"/>
          <w:highlight w:val="none"/>
          <w:lang w:val="en-US" w:eastAsia="zh-CN"/>
        </w:rPr>
        <w:t>供应商须具备丰富的国内金融业信息科技审计、IT治理、信息安全评估或咨询、信息科技风险评估或咨询等方面的经验。在项目实施过程中由供应商公司相关人员进行项目实施，不得转包或分包。</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（二）人员要求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中标方需组建完备的项目团队负责本项目实施，团队应至少包含一名项目经理，项目总体驻场人员不得少于6人。</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成员应至少具备一项信息科技专业资质（CISA、CIA、CISP、CISSP、CISM、CBCP、CCNA、CCNP、PMP等）和4年以上项目实施经验，服务团队应具有信息科技治理、信息科技风险管理、信息安全、业务连续性管理、开发测试、项目管理等方面的实战经验，且服务团队成员应具有丰富的信息科技风险管理项目经验。服务团队成员应对省级金融机构特别是省级农信社（农商行）的IT风险管理现状与发展水平具有深入的理解，能够基于业界先进实践，提供适合于招标人现状，具有可操作性的审计建议与整改方案。服务团队成员应对银行业具有深入、专业的理解，并与监管机构具有密切的合作，能够在提供创新的解决方案与专业的建议的同时，协助招标人与监管机构进行沟通。</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投标人采取现场的方式提供审计服务，项目经理与审计人员在项目实施周期现场全程参与本项目服务。</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现场实施团队成员非特殊情况应与投标响应文件中预安排的人员一致，招标方有权对派驻现场的审计人员进行资质查验，对于不合格的，有权要求中标方予以更换，不更换或更换仍不符合要求的，有权取消中标资格。</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项目实施过程中，中标方所有项目组成员需遵守：</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1.必须在招标方现场办公。</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 xml:space="preserve">2.不在现场超过1天须向招标方提出书面申请，获得同意后方可离开。 </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3.人员更换须向招标方提出书面申请，获得同意后方可更换。</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4.必须遵守招标方现场工作纪律规定。</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（三）项目经理要求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中标方须指派至少一名项目经理。</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项目经理须熟练掌握科技审计、和项目管理相关知识，至少具备CISA一项专业资质，有8年以上项目实施及管理经验。</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项目经理必须全程在现场工作，负责项目管理、协调和沟通等工作。</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项目经理对中标方已经完成的工作负有最终责任。项目经理必须使本项目在预算范围内按时优质完成。</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项目经理应具有代表中标方全权负责本项目的商务和技术的权力。项目经理能代表中标方签收招标方出具的相关项目管理文件。</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在项目经理工作不得力的情况下（如权力不够、技术不熟、管理不当等），招标方有权要求中标方更换项目经理。由此造成的项目进度的延误，由中标方承担责任。</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投标方必须满足上述项目管理人事要求，其应标所报人数及资质将作为评标依据及中标后的考核依据。</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（四）项目团队要求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投标人应该在对本项目具体工作内容充分理解和切合实际的分析基础上对于项目整体人员需求合理安排，投标方应标时，须按以下格式提交项目组成员名单及简历。简历须包括相关工作年限、学历、相关资质证书、以往参与相关项目情况、在本项目承担的角色等，投标人应按照招标人的要求在实施方案中明确项目实施团队成员，同等条件下高标准配备实施团队成员的予以优先考虑。</w:t>
      </w:r>
    </w:p>
    <w:tbl>
      <w:tblPr>
        <w:tblStyle w:val="7"/>
        <w:tblpPr w:leftFromText="180" w:rightFromText="180" w:vertAnchor="text" w:horzAnchor="page" w:tblpX="1695" w:tblpY="50"/>
        <w:tblOverlap w:val="never"/>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849"/>
        <w:gridCol w:w="1156"/>
        <w:gridCol w:w="1733"/>
        <w:gridCol w:w="28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序号</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姓名</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相关工作年限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毕业院校</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专业</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学历</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在本项目承担的角色</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相关资质证书</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以往参与相关项目情况</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4"/>
                <w:szCs w:val="24"/>
                <w:highlight w:val="none"/>
                <w:lang w:val="en-US" w:eastAsia="zh-CN"/>
              </w:rPr>
            </w:pPr>
          </w:p>
        </w:tc>
      </w:tr>
    </w:tbl>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中标方必须保证参与项目实施人员的数量应能够保证项目进度与质量。</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招标方有对中标方参与项目人员进行查验的权力。对于不满足招标方要求的人员，招标方有权要求中标方无条件更换，且不能影响项目进度。</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中标方必须保证人员组织的稳定性，在本项目结束前，参加本项目的人员变动必须取得招标方同意，招标方保留拒绝中标方人员变更要求的权利。</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（五）时间要求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从进场当天起算，现场审计时间不得少于40/人个工作日。</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（六）质量管理要求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中标方须建立项目实施的质量保证机制，建立一套全面的项目质量管理体系。</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中标方需要有质量保证人员来对项目的实施进行审查，从而保证工作过程和项目的质量。</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为保证项目的正常运行，中标方应提供项目执行跟踪和监控的具体措施，措施应包括项目状态周报制度、每周项目例会制度、阶段总结制度等。</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招标方将指派信息科技三道防线3至5名人员参与并配合项目实施，中标方在项目实施过程中应毫无保留地做好信息科技风险审计先进经验和技巧等知识的分享与传授。</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整体服务方案要求有合理明确的IT审计方法论；审计方法覆盖访谈调研、资料收集、文档分析、问卷调查、现场查证、专业工具测试（包括但不限于渗透测试、漏洞扫描、基线配置检测）、穿行测试、实质性测试、差距分析、沟通报告等；审计阶段划分清晰，时间、人员投入充分，分配合理，满足项目实施要求及工期要求；审计范围覆盖信息科技治理、信息科技管理等层面；交付成果不局限于全面或专项审计报告，还可包含专项检测报告、行业最佳实践差距分析报告、监管要求差距分析报告、整改建议书、系统加固建议书等。</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（七）进度管理</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的实施包含准备阶段、进场会、审计培训、调研访谈、现场查证、事实确认、意见交换、出场反馈、出具报告等阶段。中标方应根据招标方关于项目进度的要求制定详细的工作计划，按照计划执行，各阶段时间不能超过完成时限，且需提供相应的产出物，以供招标方核查。</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（八）工作规范要求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中标方在开展审计工作期间，须严格遵守以下工作规范要求：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1.遵守国家法律和政府的有关条例、规定和办法，以及招标方相关管理规定开展工作。</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2.执行有关项目建设的法律、法规、规范、标准和制度，履行测试服务规定的义务和职责。</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3.中标方在签署项目合同时，须同步签订《保密协议书》，承诺不泄漏审计过程中知悉的招标方一切商业秘密。</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（九）风险控制要求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中标方应对项目实施过程中可能遇到的风险、影响程度、发生概率进行说明，并给出风险应对计划。</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（十）项目交付要求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中标方必须在合同规定时间内，完成本项目的审计实施。将招标范围内所界定的工作完成。在通过验收后，中标方需将所有项目成果交付给招标方。</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项目成果交付物必须与实际工作相对应，保证两者间的一致性。</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严格管理交付物版本，保证招标方对于交付物各版本的可追溯性。</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其它：应提供其它与本系统实施和运行有关的文档和资料。</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（十一）交付清单</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本项目交付的所有文档均应提交电子版及印刷版，另有说明的除外，交付物内容必须与实际工作情况相一致，其质量必须符合招标方的要求。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项目实施方提交的交付物包括但不限于如下内容：</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出具《贵州省农村信用社技术服务人力资源外包专项审计报告》《贵州省农村信用社测试外包管理专项审计报告》《贵州省农村信用社信息系统开发变更及项目管理专项审计报告》《贵州省农村信用社信息科技重要外包管理专项审计报告》《贵州省农村信用社系统上线后评价专项审计报告》《贵州省农村信用社信息安全管理专项审计报告》《贵州省农村信用社业务连续性管理全面审计报告》。</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2．完整的项目过程佐证资料（包括但不限于审计方案、详细计划、详细工作底稿、访谈记录、工作周报、佐证依据、事实确认书等）。</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3．详细的问题清单（附定性条款依据）、处置建议及整改建议书。</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4．差距分析报告（包括行业最佳实践差距分析、监管要求差距分析）。</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5）其他。</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说明：以上所有内容必须提供电子版，签字或盖章资料必须提供原件。</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（十二）项目验收</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项目服务实施完毕后，中标人提交正式审计报告，由招标方认为本项目满足验收条件的前提下，向招标人提交验收申请书及验收材料。</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人提交的审计报告等交付资料，应准确、真实、易读，如招标方对中标人所提交材料的完整性、准确性、规范性等存在异议，中标人须按要求重新整理后提交招标方，招标人认可并签收中标人出具的正式审计报告即视为验收合规。</w:t>
      </w: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8377A"/>
    <w:multiLevelType w:val="multilevel"/>
    <w:tmpl w:val="54C8377A"/>
    <w:lvl w:ilvl="0" w:tentative="0">
      <w:start w:val="1"/>
      <w:numFmt w:val="chineseCountingThousand"/>
      <w:suff w:val="space"/>
      <w:lvlText w:val="第%1条"/>
      <w:lvlJc w:val="left"/>
      <w:pPr>
        <w:ind w:left="2112" w:hanging="432"/>
      </w:pPr>
      <w:rPr>
        <w:rFonts w:hint="eastAsia"/>
      </w:rPr>
    </w:lvl>
    <w:lvl w:ilvl="1" w:tentative="0">
      <w:start w:val="1"/>
      <w:numFmt w:val="chineseCountingThousand"/>
      <w:isLgl/>
      <w:suff w:val="space"/>
      <w:lvlText w:val="%1.%2"/>
      <w:lvlJc w:val="left"/>
      <w:pPr>
        <w:ind w:left="860" w:hanging="576"/>
      </w:pPr>
      <w:rPr>
        <w:rFonts w:hint="eastAsia"/>
      </w:rPr>
    </w:lvl>
    <w:lvl w:ilvl="2" w:tentative="0">
      <w:start w:val="1"/>
      <w:numFmt w:val="decimal"/>
      <w:pStyle w:val="4"/>
      <w:isLgl/>
      <w:suff w:val="space"/>
      <w:lvlText w:val="%1.%2.%3"/>
      <w:lvlJc w:val="left"/>
      <w:pPr>
        <w:ind w:left="2970" w:hanging="720"/>
      </w:pPr>
      <w:rPr>
        <w:rFonts w:hint="eastAsia"/>
      </w:rPr>
    </w:lvl>
    <w:lvl w:ilvl="3" w:tentative="0">
      <w:start w:val="1"/>
      <w:numFmt w:val="decimal"/>
      <w:isLgl/>
      <w:suff w:val="space"/>
      <w:lvlText w:val="%2.%3.%4"/>
      <w:lvlJc w:val="left"/>
      <w:pPr>
        <w:ind w:left="3537"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4" w:tentative="0">
      <w:start w:val="1"/>
      <w:numFmt w:val="decimal"/>
      <w:lvlText w:val="%1.%2.%3.%4.%5"/>
      <w:lvlJc w:val="left"/>
      <w:pPr>
        <w:ind w:left="2688" w:hanging="1008"/>
      </w:pPr>
      <w:rPr>
        <w:rFonts w:hint="eastAsia"/>
      </w:rPr>
    </w:lvl>
    <w:lvl w:ilvl="5" w:tentative="0">
      <w:start w:val="1"/>
      <w:numFmt w:val="decimal"/>
      <w:lvlText w:val="%1.%2.%3.%4.%5.%6"/>
      <w:lvlJc w:val="left"/>
      <w:pPr>
        <w:ind w:left="2832" w:hanging="1152"/>
      </w:pPr>
      <w:rPr>
        <w:rFonts w:hint="eastAsia"/>
      </w:rPr>
    </w:lvl>
    <w:lvl w:ilvl="6" w:tentative="0">
      <w:start w:val="1"/>
      <w:numFmt w:val="decimal"/>
      <w:lvlText w:val="%1.%2.%3.%4.%5.%6.%7"/>
      <w:lvlJc w:val="left"/>
      <w:pPr>
        <w:ind w:left="2976" w:hanging="1296"/>
      </w:pPr>
      <w:rPr>
        <w:rFonts w:hint="eastAsia"/>
      </w:rPr>
    </w:lvl>
    <w:lvl w:ilvl="7" w:tentative="0">
      <w:start w:val="1"/>
      <w:numFmt w:val="decimal"/>
      <w:lvlText w:val="%1.%2.%3.%4.%5.%6.%7.%8"/>
      <w:lvlJc w:val="left"/>
      <w:pPr>
        <w:ind w:left="3120" w:hanging="1440"/>
      </w:pPr>
      <w:rPr>
        <w:rFonts w:hint="eastAsia"/>
      </w:rPr>
    </w:lvl>
    <w:lvl w:ilvl="8" w:tentative="0">
      <w:start w:val="1"/>
      <w:numFmt w:val="decimal"/>
      <w:lvlText w:val="%1.%2.%3.%4.%5.%6.%7.%8.%9"/>
      <w:lvlJc w:val="left"/>
      <w:pPr>
        <w:ind w:left="326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YjliZGEyZTA1YmE2NDM0YWE1Njg2MGMyZjg1NWQifQ=="/>
  </w:docVars>
  <w:rsids>
    <w:rsidRoot w:val="63574EFC"/>
    <w:rsid w:val="02406B7E"/>
    <w:rsid w:val="0281396C"/>
    <w:rsid w:val="029A1B3E"/>
    <w:rsid w:val="05426524"/>
    <w:rsid w:val="09272F6A"/>
    <w:rsid w:val="0DCB2C80"/>
    <w:rsid w:val="11740332"/>
    <w:rsid w:val="11D7020E"/>
    <w:rsid w:val="14B52807"/>
    <w:rsid w:val="186062B1"/>
    <w:rsid w:val="18EE295C"/>
    <w:rsid w:val="1C4B69D5"/>
    <w:rsid w:val="1E723722"/>
    <w:rsid w:val="208A2D9A"/>
    <w:rsid w:val="22CE6D9B"/>
    <w:rsid w:val="264A2CA8"/>
    <w:rsid w:val="2A4917DD"/>
    <w:rsid w:val="2AFD6C12"/>
    <w:rsid w:val="2C347AC6"/>
    <w:rsid w:val="344668DC"/>
    <w:rsid w:val="34F03F67"/>
    <w:rsid w:val="359B57DB"/>
    <w:rsid w:val="364F3CE2"/>
    <w:rsid w:val="38C83E60"/>
    <w:rsid w:val="396F02C3"/>
    <w:rsid w:val="3B5A583B"/>
    <w:rsid w:val="3CFA5D8B"/>
    <w:rsid w:val="3FD31F8D"/>
    <w:rsid w:val="4057286D"/>
    <w:rsid w:val="420936C7"/>
    <w:rsid w:val="425863FC"/>
    <w:rsid w:val="42F73E67"/>
    <w:rsid w:val="45B95AA0"/>
    <w:rsid w:val="45C8557B"/>
    <w:rsid w:val="46EE732F"/>
    <w:rsid w:val="474E1D21"/>
    <w:rsid w:val="492F0BC7"/>
    <w:rsid w:val="498F3115"/>
    <w:rsid w:val="4A4C6847"/>
    <w:rsid w:val="4A602A20"/>
    <w:rsid w:val="4D205177"/>
    <w:rsid w:val="50044261"/>
    <w:rsid w:val="516A3A56"/>
    <w:rsid w:val="530879CB"/>
    <w:rsid w:val="53B12DCB"/>
    <w:rsid w:val="599224B3"/>
    <w:rsid w:val="5E3C04AC"/>
    <w:rsid w:val="5FB92779"/>
    <w:rsid w:val="600D4814"/>
    <w:rsid w:val="603E1EDD"/>
    <w:rsid w:val="62173786"/>
    <w:rsid w:val="63574EFC"/>
    <w:rsid w:val="64277EAA"/>
    <w:rsid w:val="680947E3"/>
    <w:rsid w:val="69AB3134"/>
    <w:rsid w:val="6DD14CF4"/>
    <w:rsid w:val="6DEC1F6B"/>
    <w:rsid w:val="758E56B6"/>
    <w:rsid w:val="7B1D14A8"/>
    <w:rsid w:val="7DD601B2"/>
    <w:rsid w:val="7FFEB24B"/>
    <w:rsid w:val="D75C6580"/>
    <w:rsid w:val="F5AC9BAA"/>
    <w:rsid w:val="FBF887C4"/>
    <w:rsid w:val="FF9E9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9"/>
    <w:pPr>
      <w:numPr>
        <w:ilvl w:val="2"/>
        <w:numId w:val="1"/>
      </w:numPr>
      <w:spacing w:line="360" w:lineRule="auto"/>
      <w:ind w:left="0" w:firstLine="200" w:firstLineChars="200"/>
      <w:outlineLvl w:val="2"/>
    </w:pPr>
    <w:rPr>
      <w:rFonts w:ascii="宋体" w:hAnsi="宋体"/>
      <w:bCs/>
      <w:kern w:val="2"/>
      <w:sz w:val="24"/>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rPr>
      <w:szCs w:val="21"/>
      <w:lang w:val="zh-CN"/>
    </w:rPr>
  </w:style>
  <w:style w:type="paragraph" w:customStyle="1" w:styleId="3">
    <w:name w:val="BodyText"/>
    <w:basedOn w:val="1"/>
    <w:qFormat/>
    <w:uiPriority w:val="99"/>
    <w:pPr>
      <w:spacing w:after="120"/>
      <w:textAlignment w:val="baseline"/>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customStyle="1" w:styleId="9">
    <w:name w:val="PwC Normal"/>
    <w:basedOn w:val="1"/>
    <w:qFormat/>
    <w:uiPriority w:val="99"/>
    <w:pPr>
      <w:spacing w:before="180" w:after="180" w:line="240" w:lineRule="atLeast"/>
    </w:p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3329</Words>
  <Characters>3500</Characters>
  <Lines>0</Lines>
  <Paragraphs>0</Paragraphs>
  <TotalTime>25</TotalTime>
  <ScaleCrop>false</ScaleCrop>
  <LinksUpToDate>false</LinksUpToDate>
  <CharactersWithSpaces>3516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2022-12-21T09:53:00Z</dcterms:created>
  <dc:creator>慎独宁鸣</dc:creator>
  <cp:lastModifiedBy>欧阳腾龙</cp:lastModifiedBy>
  <cp:lastPrinted>2024-04-02T09:19:15Z</cp:lastPrinted>
  <dcterms:modified xsi:type="dcterms:W3CDTF">2024-04-02T11:16:52Z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097F84B4908EA6A23A2201669B6C80D9</vt:lpwstr>
  </property>
</Properties>
</file>