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微软简仿宋" w:hAnsi="微软简仿宋" w:eastAsia="微软简仿宋" w:cs="微软简仿宋"/>
          <w:b/>
          <w:bCs/>
          <w:i w:val="0"/>
          <w:iCs w:val="0"/>
          <w:color w:val="000000"/>
          <w:kern w:val="0"/>
          <w:sz w:val="32"/>
          <w:szCs w:val="32"/>
          <w:highlight w:val="none"/>
          <w:u w:val="none"/>
          <w:lang w:val="en-US" w:eastAsia="zh-CN" w:bidi="ar"/>
        </w:rPr>
      </w:pPr>
      <w:r>
        <w:rPr>
          <w:rFonts w:hint="eastAsia" w:ascii="微软简仿宋" w:hAnsi="微软简仿宋" w:eastAsia="微软简仿宋" w:cs="微软简仿宋"/>
          <w:b/>
          <w:bCs/>
          <w:i w:val="0"/>
          <w:iCs w:val="0"/>
          <w:color w:val="000000"/>
          <w:kern w:val="0"/>
          <w:sz w:val="32"/>
          <w:szCs w:val="32"/>
          <w:highlight w:val="none"/>
          <w:u w:val="none"/>
          <w:lang w:val="en-US" w:eastAsia="zh-CN" w:bidi="ar"/>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val="0"/>
          <w:sz w:val="44"/>
          <w:szCs w:val="44"/>
          <w:lang w:val="en-US" w:eastAsia="zh-CN"/>
        </w:rPr>
      </w:pPr>
      <w:r>
        <w:rPr>
          <w:rFonts w:hint="eastAsia" w:ascii="方正小标宋简体" w:hAnsi="方正小标宋简体" w:eastAsia="方正小标宋简体" w:cs="方正小标宋简体"/>
          <w:bCs w:val="0"/>
          <w:sz w:val="44"/>
          <w:szCs w:val="44"/>
          <w:lang w:val="en-US" w:eastAsia="zh-CN"/>
        </w:rPr>
        <w:t>电子签章系统维保服务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val="0"/>
          <w:sz w:val="44"/>
          <w:szCs w:val="44"/>
          <w:lang w:val="en-US" w:eastAsia="zh-CN"/>
        </w:rPr>
      </w:pPr>
      <w:r>
        <w:rPr>
          <w:rFonts w:hint="eastAsia" w:ascii="方正小标宋简体" w:hAnsi="方正小标宋简体" w:eastAsia="方正小标宋简体" w:cs="方正小标宋简体"/>
          <w:bCs w:val="0"/>
          <w:sz w:val="44"/>
          <w:szCs w:val="44"/>
          <w:lang w:val="en-US" w:eastAsia="zh-CN"/>
        </w:rPr>
        <w:t>采购项目技术方案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val="0"/>
          <w:sz w:val="44"/>
          <w:szCs w:val="44"/>
          <w:lang w:val="en-US" w:eastAsia="zh-CN"/>
        </w:rPr>
      </w:pPr>
    </w:p>
    <w:p/>
    <w:p>
      <w:r>
        <w:br w:type="page"/>
      </w:r>
    </w:p>
    <w:p>
      <w:pPr>
        <w:ind w:left="482" w:firstLine="0" w:firstLineChars="0"/>
        <w:rPr>
          <w:rFonts w:hint="eastAsia"/>
          <w:b/>
          <w:bCs/>
          <w:color w:val="auto"/>
        </w:rPr>
      </w:pPr>
    </w:p>
    <w:p>
      <w:pPr>
        <w:numPr>
          <w:numId w:val="0"/>
        </w:numPr>
        <w:spacing w:line="560" w:lineRule="exact"/>
        <w:ind w:firstLine="640" w:firstLineChars="20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rPr>
        <w:t>一、</w:t>
      </w:r>
      <w:r>
        <w:rPr>
          <w:rFonts w:hint="eastAsia" w:ascii="黑体" w:hAnsi="黑体" w:eastAsia="黑体" w:cs="Times New Roman"/>
          <w:sz w:val="32"/>
          <w:szCs w:val="32"/>
          <w:lang w:val="en-US" w:eastAsia="zh-CN"/>
        </w:rPr>
        <w:t>项目介绍</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我社办公系统采用江西金格科技有限公司的电子签章系统（信创版），该系统实现了对 OFD 版式文档进行电子签章的制章、审章、盖章、验章，保障了办公系统内部公文的真实性和完整性。现需要采购该系统为期3年的维保服务。</w:t>
      </w:r>
    </w:p>
    <w:p>
      <w:pPr>
        <w:spacing w:line="560" w:lineRule="exact"/>
        <w:ind w:firstLine="640" w:firstLineChars="200"/>
        <w:outlineLvl w:val="0"/>
        <w:rPr>
          <w:rFonts w:hint="eastAsia" w:ascii="黑体" w:hAnsi="黑体" w:eastAsia="黑体" w:cs="Times New Roman"/>
          <w:sz w:val="32"/>
          <w:szCs w:val="32"/>
          <w:lang w:val="en-US" w:eastAsia="zh-CN"/>
        </w:rPr>
      </w:pPr>
      <w:bookmarkStart w:id="0" w:name="_Toc60758346"/>
      <w:r>
        <w:rPr>
          <w:rFonts w:hint="eastAsia" w:ascii="黑体" w:hAnsi="黑体" w:eastAsia="黑体" w:cs="Times New Roman"/>
          <w:sz w:val="32"/>
          <w:szCs w:val="32"/>
          <w:lang w:val="en-US" w:eastAsia="zh-CN"/>
        </w:rPr>
        <w:t>二、服务要求</w:t>
      </w:r>
      <w:bookmarkEnd w:id="0"/>
    </w:p>
    <w:p>
      <w:pPr>
        <w:spacing w:line="560" w:lineRule="exact"/>
        <w:ind w:firstLine="480" w:firstLineChars="200"/>
        <w:rPr>
          <w:rFonts w:hint="default"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投标人对招标人的电子签章系统进行</w:t>
      </w:r>
      <w:r>
        <w:rPr>
          <w:rFonts w:hint="default" w:ascii="仿宋_GB2312" w:hAnsi="Calibri" w:eastAsia="仿宋_GB2312" w:cs="Times New Roman"/>
          <w:sz w:val="24"/>
          <w:szCs w:val="24"/>
          <w:lang w:val="en-US" w:eastAsia="zh-CN"/>
        </w:rPr>
        <w:t>维护</w:t>
      </w:r>
      <w:r>
        <w:rPr>
          <w:rFonts w:hint="eastAsia" w:ascii="仿宋_GB2312" w:hAnsi="Calibri" w:eastAsia="仿宋_GB2312" w:cs="Times New Roman"/>
          <w:sz w:val="24"/>
          <w:szCs w:val="24"/>
          <w:lang w:val="en-US" w:eastAsia="zh-CN"/>
        </w:rPr>
        <w:t>和</w:t>
      </w:r>
      <w:r>
        <w:rPr>
          <w:rFonts w:hint="default" w:ascii="仿宋_GB2312" w:hAnsi="Calibri" w:eastAsia="仿宋_GB2312" w:cs="Times New Roman"/>
          <w:sz w:val="24"/>
          <w:szCs w:val="24"/>
          <w:lang w:val="en-US" w:eastAsia="zh-CN"/>
        </w:rPr>
        <w:t>保障服务，以确保应用系统正常稳定运行</w:t>
      </w:r>
      <w:r>
        <w:rPr>
          <w:rFonts w:hint="eastAsia" w:ascii="仿宋_GB2312" w:hAnsi="Calibri" w:eastAsia="仿宋_GB2312" w:cs="Times New Roman"/>
          <w:sz w:val="24"/>
          <w:szCs w:val="24"/>
          <w:lang w:val="en-US" w:eastAsia="zh-CN"/>
        </w:rPr>
        <w:t>，</w:t>
      </w:r>
      <w:r>
        <w:rPr>
          <w:rFonts w:hint="default" w:ascii="仿宋_GB2312" w:hAnsi="Calibri" w:eastAsia="仿宋_GB2312" w:cs="Times New Roman"/>
          <w:sz w:val="24"/>
          <w:szCs w:val="24"/>
          <w:lang w:val="en-US" w:eastAsia="zh-CN"/>
        </w:rPr>
        <w:t>包括但不限于系统有效生命周期内（即</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废止该系统运行之前）的技术咨询、产品版本升级、缺陷修复、故障处理、系统巡检</w:t>
      </w:r>
      <w:r>
        <w:rPr>
          <w:rFonts w:hint="eastAsia" w:ascii="仿宋_GB2312" w:hAnsi="Calibri" w:eastAsia="仿宋_GB2312" w:cs="Times New Roman"/>
          <w:sz w:val="24"/>
          <w:szCs w:val="24"/>
          <w:lang w:val="en-US" w:eastAsia="zh-CN"/>
        </w:rPr>
        <w:t>等，维保服务期限为3年</w:t>
      </w:r>
      <w:r>
        <w:rPr>
          <w:rFonts w:hint="default" w:ascii="仿宋_GB2312" w:hAnsi="Calibri" w:eastAsia="仿宋_GB2312" w:cs="Times New Roman"/>
          <w:sz w:val="24"/>
          <w:szCs w:val="24"/>
          <w:lang w:val="en-US" w:eastAsia="zh-CN"/>
        </w:rPr>
        <w:t>。</w:t>
      </w:r>
    </w:p>
    <w:p>
      <w:pPr>
        <w:spacing w:line="560" w:lineRule="exact"/>
        <w:ind w:firstLine="480" w:firstLineChars="200"/>
        <w:rPr>
          <w:rFonts w:hint="default"/>
          <w:lang w:val="en-US" w:eastAsia="zh-CN"/>
        </w:rPr>
      </w:pPr>
      <w:r>
        <w:rPr>
          <w:rFonts w:hint="default" w:ascii="仿宋_GB2312" w:hAnsi="Calibri" w:eastAsia="仿宋_GB2312" w:cs="Times New Roman"/>
          <w:sz w:val="24"/>
          <w:szCs w:val="24"/>
          <w:lang w:val="en-US" w:eastAsia="zh-CN"/>
        </w:rPr>
        <w:t>服务方式包括但不限于现场人员支持、现场咨询、现场排除故障、电话咨询、远程支持等。系统出现异常时，</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应及时通过电话、邮件等方式通知</w:t>
      </w:r>
      <w:r>
        <w:rPr>
          <w:rFonts w:hint="eastAsia" w:ascii="仿宋_GB2312" w:hAnsi="Calibri" w:eastAsia="仿宋_GB2312" w:cs="Times New Roman"/>
          <w:sz w:val="24"/>
          <w:szCs w:val="24"/>
          <w:lang w:val="en-US" w:eastAsia="zh-CN"/>
        </w:rPr>
        <w:t>投标人</w:t>
      </w:r>
      <w:r>
        <w:rPr>
          <w:rFonts w:hint="default" w:ascii="仿宋_GB2312" w:hAnsi="Calibri" w:eastAsia="仿宋_GB2312" w:cs="Times New Roman"/>
          <w:sz w:val="24"/>
          <w:szCs w:val="24"/>
          <w:lang w:val="en-US" w:eastAsia="zh-CN"/>
        </w:rPr>
        <w:t>，</w:t>
      </w:r>
      <w:r>
        <w:rPr>
          <w:rFonts w:hint="eastAsia" w:ascii="仿宋_GB2312" w:hAnsi="Calibri" w:eastAsia="仿宋_GB2312" w:cs="Times New Roman"/>
          <w:sz w:val="24"/>
          <w:szCs w:val="24"/>
          <w:lang w:val="en-US" w:eastAsia="zh-CN"/>
        </w:rPr>
        <w:t>投标人</w:t>
      </w:r>
      <w:r>
        <w:rPr>
          <w:rFonts w:hint="default" w:ascii="仿宋_GB2312" w:hAnsi="Calibri" w:eastAsia="仿宋_GB2312" w:cs="Times New Roman"/>
          <w:sz w:val="24"/>
          <w:szCs w:val="24"/>
          <w:lang w:val="en-US" w:eastAsia="zh-CN"/>
        </w:rPr>
        <w:t>收到</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通知后应立即配合</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查明系统异常原因，如果通过电话、远程协助等方式无法使系统恢复正常，或者</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认为有必要的情况下，</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有权要求</w:t>
      </w:r>
      <w:r>
        <w:rPr>
          <w:rFonts w:hint="eastAsia" w:ascii="仿宋_GB2312" w:hAnsi="Calibri" w:eastAsia="仿宋_GB2312" w:cs="Times New Roman"/>
          <w:sz w:val="24"/>
          <w:szCs w:val="24"/>
          <w:lang w:val="en-US" w:eastAsia="zh-CN"/>
        </w:rPr>
        <w:t>投标人</w:t>
      </w:r>
      <w:r>
        <w:rPr>
          <w:rFonts w:hint="default" w:ascii="仿宋_GB2312" w:hAnsi="Calibri" w:eastAsia="仿宋_GB2312" w:cs="Times New Roman"/>
          <w:sz w:val="24"/>
          <w:szCs w:val="24"/>
          <w:lang w:val="en-US" w:eastAsia="zh-CN"/>
        </w:rPr>
        <w:t>到达现场进行支持服务。</w:t>
      </w:r>
    </w:p>
    <w:p>
      <w:pPr>
        <w:spacing w:line="560" w:lineRule="exact"/>
        <w:ind w:firstLine="640" w:firstLineChars="20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四、服务须满足的规范、标准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ab/>
      </w:r>
      <w:r>
        <w:rPr>
          <w:rFonts w:hint="eastAsia" w:ascii="仿宋_GB2312" w:hAnsi="Calibri" w:eastAsia="仿宋_GB2312" w:cs="Times New Roman"/>
          <w:sz w:val="24"/>
          <w:szCs w:val="24"/>
          <w:lang w:val="en-US" w:eastAsia="zh-CN"/>
        </w:rPr>
        <w:t>1、定义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（1）故障：指信息系统在没有预先安排的情况下出现的对用户提供服务的中断。故障级别分为：</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一级故障：系统不能运行或存在故障，导致所有或部分业务都无法运行。</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二级故障：辖内部分机构的业务系统无法运行。</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三级故障：系统运行出现故障，但是不影响业务办理，或者有其他替代方式能够完成业务办理。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（2）缺陷：指信息系统存在的某种破坏正常运行能力的问题、错误，或者隐藏的功能缺陷，即将但是还没有造成系统故障。缺陷级别分为：</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紧急缺陷：指信息系统存在异常，即将造成大量业务中断或存在高风险安全漏洞，随时可能发生信息系统故障或安全事件。</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重大缺陷：指信息系统发生异常，不影响信息系统整体运行，即将或已经造成少量业务中断，对安全运行影响较大，尚能保持运行，不及时处理会造成信息系统停运等故障情况。</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普通缺陷：指设备(系统)、设施发生的异常，不影响业务运行，不影响设备（系统）整体运行，短时之内不会劣化为重大缺陷、紧急缺陷，对运行虽有影响但尚能保持运行。</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（3）变更：包括故障及缺陷的处理、日常运维中的数据变更和配置变更、定制化功能需求变更等。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2、维保服务范围</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系统有效生命周期内，投标人维保服务包括但不限于以下内容：</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系统运行问题的诊断和处理。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系统运行期间技术咨询。</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产品版本升级、缺陷修复、故障处理。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系统巡检、特殊时段保障。</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信息备份。</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配置变更、数据变更。</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不超过系统建设总工作量10%的局部功能的增加和调整。</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未来新增定制化改造内容的维保。</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3、维保服务要求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（1）维保服务方式</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服务方式包括但不限于现场人员支持、现场咨询、现场排除故障、电话咨询、远程支持等。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（2）维保服务描述</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投标人在维保服务期按照招标人系统运维管理相关规定，为招标人提供以下运维服务：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537"/>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序号</w:t>
            </w: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服务项</w:t>
            </w:r>
          </w:p>
        </w:tc>
        <w:tc>
          <w:tcPr>
            <w:tcW w:w="6249"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系统巡检</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对系统进行巡视，检查系统运行状态</w:t>
            </w:r>
            <w:r>
              <w:rPr>
                <w:rFonts w:hint="eastAsia" w:asciiTheme="minorEastAsia" w:hAnsiTheme="minorEastAsia" w:eastAsiaTheme="minorEastAsia" w:cstheme="minorEastAsia"/>
                <w:sz w:val="21"/>
                <w:szCs w:val="21"/>
              </w:rPr>
              <w:t>，及时解决突发问题；</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重大节假日</w:t>
            </w:r>
            <w:r>
              <w:rPr>
                <w:rFonts w:hint="eastAsia" w:asciiTheme="minorEastAsia" w:hAnsiTheme="minorEastAsia" w:eastAsiaTheme="minorEastAsia" w:cstheme="minorEastAsia"/>
                <w:sz w:val="21"/>
                <w:szCs w:val="21"/>
              </w:rPr>
              <w:t>或重要时点</w:t>
            </w:r>
            <w:r>
              <w:rPr>
                <w:rFonts w:hint="eastAsia" w:asciiTheme="minorEastAsia" w:hAnsiTheme="minorEastAsia" w:eastAsiaTheme="minorEastAsia" w:cstheme="minorEastAsia"/>
                <w:sz w:val="21"/>
                <w:szCs w:val="21"/>
                <w:lang w:eastAsia="zh-TW"/>
              </w:rPr>
              <w:t>前，对运维对象进行系统级检查，并及时处理系统隐患及异常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特殊时段保障</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重大节假日或重大活动日保障系统正常运行。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技术咨询</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7*24小时响应用户电话咨询，进行系统维护指导；</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技术方案支持、规划咨询服务等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信息备份</w:t>
            </w:r>
          </w:p>
        </w:tc>
        <w:tc>
          <w:tcPr>
            <w:tcW w:w="62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对系统代码、系统配置信息、系统文档等进行备份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故障及缺陷处理</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1）对影响系统可用性的故障及缺陷或突发事件进行处置，最大化系统可用率、杜绝信息安全事件、保证系统应用性能</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2）对系统BUG或功能BUG进行处理完善</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3）对系统性能进行优化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w:t>
            </w:r>
          </w:p>
        </w:tc>
        <w:tc>
          <w:tcPr>
            <w:tcW w:w="62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1）完成系统运行环境、运行参数、操作系统补丁的升级和调优工作</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2）配合完成系统测试环境搭建</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3）配合完成系统迁移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w:t>
            </w:r>
            <w:r>
              <w:rPr>
                <w:rFonts w:hint="eastAsia" w:asciiTheme="minorEastAsia" w:hAnsiTheme="minorEastAsia" w:eastAsiaTheme="minorEastAsia" w:cstheme="minorEastAsia"/>
                <w:sz w:val="21"/>
                <w:szCs w:val="21"/>
                <w:lang w:eastAsia="zh-TW"/>
              </w:rPr>
              <w:t>版本</w:t>
            </w:r>
            <w:r>
              <w:rPr>
                <w:rFonts w:hint="eastAsia" w:asciiTheme="minorEastAsia" w:hAnsiTheme="minorEastAsia" w:eastAsiaTheme="minorEastAsia" w:cstheme="minorEastAsia"/>
                <w:sz w:val="21"/>
                <w:szCs w:val="21"/>
              </w:rPr>
              <w:t>升级</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系统程序</w:t>
            </w:r>
            <w:r>
              <w:rPr>
                <w:rFonts w:hint="eastAsia" w:asciiTheme="minorEastAsia" w:hAnsiTheme="minorEastAsia" w:eastAsiaTheme="minorEastAsia" w:cstheme="minorEastAsia"/>
                <w:sz w:val="21"/>
                <w:szCs w:val="21"/>
              </w:rPr>
              <w:t>发布、部署及相关文档等</w:t>
            </w:r>
            <w:r>
              <w:rPr>
                <w:rFonts w:hint="eastAsia" w:asciiTheme="minorEastAsia" w:hAnsiTheme="minorEastAsia" w:eastAsiaTheme="minorEastAsia" w:cstheme="minorEastAsia"/>
                <w:sz w:val="21"/>
                <w:szCs w:val="21"/>
                <w:lang w:eastAsia="zh-TW"/>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局部功能调整</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对系统功能进行局部功能更改，并同步对《需求说明》、《设计文档》、《数据字典》、《使用手册》</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TW"/>
              </w:rPr>
              <w:t>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w:t>
            </w:r>
          </w:p>
        </w:tc>
        <w:tc>
          <w:tcPr>
            <w:tcW w:w="62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对因用户误操作、通过系统功能无法更正的应用数据，在</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书面授权后，进行后台修改，并对数据实行分级维护（对不同单位、个人授予相应权限）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2"/>
              </w:numPr>
              <w:adjustRightInd w:val="0"/>
              <w:snapToGrid w:val="0"/>
              <w:spacing w:line="240" w:lineRule="auto"/>
              <w:ind w:firstLineChars="0"/>
              <w:jc w:val="center"/>
              <w:rPr>
                <w:rFonts w:hint="eastAsia" w:asciiTheme="minorEastAsia" w:hAnsiTheme="minorEastAsia" w:eastAsiaTheme="minorEastAsia" w:cstheme="minorEastAsia"/>
                <w:sz w:val="21"/>
                <w:szCs w:val="21"/>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其他</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1）针对系统可能的突发事件，配合</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编制应急预案，并配合</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进行应急演练</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2）配合进行安全测评，以及安全整改和加固</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3）配合完成与本系统相关的其它运维服务工作</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4）协助</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完成制定IT服务的相关流程、制度，详细列出针对不同事件和问题的技术方案和解决方案，并提供相关技术参考资料等</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p>
        </w:tc>
      </w:tr>
    </w:tbl>
    <w:p>
      <w:pPr>
        <w:ind w:firstLine="480"/>
      </w:pP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（3）服务响应时限和服务周期要求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013"/>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序号</w:t>
            </w:r>
          </w:p>
        </w:tc>
        <w:tc>
          <w:tcPr>
            <w:tcW w:w="2013"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服务项</w:t>
            </w:r>
          </w:p>
        </w:tc>
        <w:tc>
          <w:tcPr>
            <w:tcW w:w="5772"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服务响应时限和服务周期要求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系统巡检</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每月及重大节假日或重大活动日或重大事件前进行巡检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特殊时段保障</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有权要求中标方在重大节假日或重大活动日派驻至少一名技术人员驻场保障系统正常运行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技术咨询</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1）提供7×24小时服务</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2）3小时内响应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信息备份</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系统代码、系统配置信息、系统文档发生改变后1个工作日内进行备份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故障及缺陷处理</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1）提供7×24小时服务</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w:t>
            </w:r>
            <w:r>
              <w:rPr>
                <w:rFonts w:hint="eastAsia" w:asciiTheme="minorEastAsia" w:hAnsiTheme="minorEastAsia" w:eastAsiaTheme="minorEastAsia" w:cstheme="minorEastAsia"/>
                <w:sz w:val="21"/>
                <w:szCs w:val="21"/>
              </w:rPr>
              <w:t>详见表下约定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开展配置变更的工作时间不能影响系统正常使用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产品版本升级</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开展程序发布的工作时间不能影响系统正常使用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数据变更及其他</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满足</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时限要求</w:t>
            </w:r>
          </w:p>
        </w:tc>
      </w:tr>
    </w:tbl>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（4）故障处理时限要求：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一级故障：要求30分钟内予以响应，经招标人评估，需要投标人到现场解决的，投标人维护人员如在招标人所在地或是招标人所辖内的机构（包括分支机构）所在地，要求2小时内到达现场；如在外地，到达现场所用时间应控制在12小时内。</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二级故障：要求1小时内予以响应，经招标人评估，需要投标人到现场解决的，投标人维护人员如在招标人所在地或是招标人所辖内的机构（包括分支机构）所在地，要求4小时内到达现场；如在外地，到达现场所用时间应控制在24小时内。</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三级故障：要求1小时内予以响应，经招标人评估，需要投标人到现场解决的，投标人维护人员如在招标人所在地或是招标人所辖内的机构（包括分支机构）所在地，要求8小时内到达现场；如在外地，到达现场时间应控制在48小时内。</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（5）缺陷修复时限要求：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紧急缺陷：要求1小时内予以响应，2天内予以解决。</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重大缺陷：要求1天内予以响应，7天内予以解决。</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普通缺陷：要求2天内予以响应，甲乙双方友好协商。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（5）交付物要求清单/清单要求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494"/>
        <w:gridCol w:w="3006"/>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序号</w:t>
            </w:r>
          </w:p>
        </w:tc>
        <w:tc>
          <w:tcPr>
            <w:tcW w:w="1494"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服务项</w:t>
            </w:r>
          </w:p>
        </w:tc>
        <w:tc>
          <w:tcPr>
            <w:tcW w:w="3006"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交付物</w:t>
            </w:r>
          </w:p>
        </w:tc>
        <w:tc>
          <w:tcPr>
            <w:tcW w:w="3349"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系统巡检</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巡检报告</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巡检结束后5个工作日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rPr>
            </w:pPr>
            <w:bookmarkStart w:id="1" w:name="_GoBack"/>
            <w:bookmarkEnd w:id="1"/>
          </w:p>
        </w:tc>
        <w:tc>
          <w:tcPr>
            <w:tcW w:w="1494"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特殊时段保障</w:t>
            </w:r>
          </w:p>
        </w:tc>
        <w:tc>
          <w:tcPr>
            <w:tcW w:w="3006"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缺陷处理报告</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noWrap w:val="0"/>
            <w:vAlign w:val="center"/>
          </w:tcPr>
          <w:p>
            <w:pPr>
              <w:numPr>
                <w:ilvl w:val="0"/>
                <w:numId w:val="4"/>
              </w:numPr>
              <w:adjustRightInd w:val="0"/>
              <w:snapToGrid w:val="0"/>
              <w:spacing w:line="240" w:lineRule="auto"/>
              <w:ind w:firstLineChars="0"/>
              <w:jc w:val="left"/>
              <w:rPr>
                <w:rFonts w:hint="eastAsia" w:asciiTheme="minorEastAsia" w:hAnsiTheme="minorEastAsia" w:eastAsiaTheme="minorEastAsia" w:cstheme="minorEastAsia"/>
                <w:sz w:val="21"/>
                <w:szCs w:val="21"/>
              </w:rPr>
            </w:pPr>
          </w:p>
        </w:tc>
        <w:tc>
          <w:tcPr>
            <w:tcW w:w="1494" w:type="dxa"/>
            <w:vMerge w:val="restart"/>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故障处理</w:t>
            </w:r>
          </w:p>
        </w:tc>
        <w:tc>
          <w:tcPr>
            <w:tcW w:w="3006" w:type="dxa"/>
            <w:noWrap w:val="0"/>
            <w:vAlign w:val="center"/>
          </w:tcPr>
          <w:p>
            <w:pPr>
              <w:widowControl/>
              <w:spacing w:line="440" w:lineRule="exact"/>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故障处理报告或记录</w:t>
            </w:r>
          </w:p>
        </w:tc>
        <w:tc>
          <w:tcPr>
            <w:tcW w:w="3349" w:type="dxa"/>
            <w:noWrap w:val="0"/>
            <w:vAlign w:val="center"/>
          </w:tcPr>
          <w:p>
            <w:pPr>
              <w:widowControl/>
              <w:spacing w:line="440" w:lineRule="exact"/>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continue"/>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p>
        </w:tc>
        <w:tc>
          <w:tcPr>
            <w:tcW w:w="3006" w:type="dxa"/>
            <w:noWrap w:val="0"/>
            <w:vAlign w:val="center"/>
          </w:tcPr>
          <w:p>
            <w:pPr>
              <w:widowControl/>
              <w:spacing w:line="440" w:lineRule="exact"/>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更新《系统故障处置指南》</w:t>
            </w:r>
          </w:p>
        </w:tc>
        <w:tc>
          <w:tcPr>
            <w:tcW w:w="3349" w:type="dxa"/>
            <w:noWrap w:val="0"/>
            <w:vAlign w:val="center"/>
          </w:tcPr>
          <w:p>
            <w:pPr>
              <w:widowControl/>
              <w:spacing w:line="440" w:lineRule="exact"/>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restart"/>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缺陷处理报告或记录</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continue"/>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更新《系统缺陷处置指南》</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restart"/>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配置变更记录</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continue"/>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更新《系统配置指南》</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产品版本升级</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产品版本升级记录</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升级完成后1个工作日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需求变更</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更新《需求说明书》、《设计文档》、《数据字典》、《使用手册》</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需求变更后5个工作日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数据变更记录</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其他</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按</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要求</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按</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实际要求</w:t>
            </w:r>
          </w:p>
        </w:tc>
      </w:tr>
    </w:tbl>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招标人在收到投标人交付物后，若招标人认为交付物未满足项目要求，则投标人必须在招标人要求时限内对交付物做出修改，直至取得招标人认可后，方可再次提交。</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（6）运维服务质量要求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投标人提供的维保服务应规范、及时、有效，准确，满足以下质量要求：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保障运维期间系统运行稳定，不因为运维工作不规范、不及时、不到位或者工作失误，导致系统不可用；</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保障运维期间系统运行安全，不因为运维工作不规范、不及时、不到位或者工作失误，发生信息安全事件；</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不因运维工作不规范、不及时、不到位或工作失误以导致系统数据、应用数据和配置信息丢失；</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不因运维工作不规范、不及时、不到位或工作失误以及工作态度问题导致用户投诉；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严格遵循贵州省农村信用社联合社运维管理相关规定开展工作，杜绝运维工作违规违纪现象发生。</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（7）维保人员要求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投标人按招标人要求派驻现场的技术人员，对不满足招标人工作要求的，招标人有权要求投标人予以更换。</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投标人派驻现场的技术人员需遵守：</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 xml:space="preserve">不在现场超过1天须向招标人提出书面申请，获得同意后方可离开； </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人员更换须向招标人提出书面申请，获得同意后方可更换；</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必须遵守招标人现场工作纪律规定，包括考勤、着装、纪律等。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（8）工作规范要求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投标人必须严格遵循招标人信息系统相关工作流程、规范、标准和制度要求，在招标人指定平台中按照开展维保服务工作，做好各项工作的过程及结果的详细记录；</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投标人必须严格执行工作审批流程，未经许可不得擅自扩大工作范围；</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投标人在运维工作中必须严格遵循早发现、早汇报、早处理原则。任何情况下，都不能向招标人隐瞒维保工作真实情况；</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投标人在维保工作中要做好备份、测试、监护等风险预防措施，杜绝工作失误造成的系统故障、数据丢失等事件；</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4、维保服务考核</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招标人根据下表所列考核办法对投标人进行考核，并按照从当期维保费用扣除考核款后的余额支付投标人。</w:t>
      </w:r>
    </w:p>
    <w:tbl>
      <w:tblPr>
        <w:tblStyle w:val="9"/>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103"/>
        <w:gridCol w:w="5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序号</w:t>
            </w:r>
          </w:p>
        </w:tc>
        <w:tc>
          <w:tcPr>
            <w:tcW w:w="3103" w:type="dxa"/>
            <w:shd w:val="clear" w:color="auto" w:fill="auto"/>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考核点</w:t>
            </w:r>
          </w:p>
        </w:tc>
        <w:tc>
          <w:tcPr>
            <w:tcW w:w="5000" w:type="dxa"/>
            <w:shd w:val="clear" w:color="auto" w:fill="auto"/>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rPr>
              <w:t>扣减</w:t>
            </w:r>
            <w:r>
              <w:rPr>
                <w:rFonts w:hint="eastAsia" w:asciiTheme="minorEastAsia" w:hAnsiTheme="minorEastAsia" w:eastAsiaTheme="minorEastAsia" w:cstheme="minorEastAsia"/>
                <w:b/>
                <w:sz w:val="21"/>
                <w:szCs w:val="21"/>
                <w:lang w:eastAsia="zh-TW"/>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在合同履行过程中存在故意或过失行为造成</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损失</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扣减当</w:t>
            </w:r>
            <w:r>
              <w:rPr>
                <w:rFonts w:hint="eastAsia" w:asciiTheme="minorEastAsia" w:hAnsiTheme="minorEastAsia" w:eastAsiaTheme="minorEastAsia" w:cstheme="minorEastAsia"/>
                <w:sz w:val="21"/>
                <w:szCs w:val="21"/>
              </w:rPr>
              <w:t>期全部维保费用</w:t>
            </w:r>
            <w:r>
              <w:rPr>
                <w:rFonts w:hint="eastAsia" w:asciiTheme="minorEastAsia" w:hAnsiTheme="minorEastAsia" w:eastAsiaTheme="minorEastAsia" w:cstheme="minorEastAsia"/>
                <w:sz w:val="21"/>
                <w:szCs w:val="21"/>
                <w:lang w:eastAsia="zh-TW"/>
              </w:rPr>
              <w:t>，并赔偿</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系统不可用超标</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rPr>
              <w:t>当期维保期</w:t>
            </w:r>
            <w:r>
              <w:rPr>
                <w:rFonts w:hint="eastAsia" w:asciiTheme="minorEastAsia" w:hAnsiTheme="minorEastAsia" w:eastAsiaTheme="minorEastAsia" w:cstheme="minorEastAsia"/>
                <w:sz w:val="21"/>
                <w:szCs w:val="21"/>
                <w:lang w:eastAsia="zh-TW"/>
              </w:rPr>
              <w:t>内，</w:t>
            </w:r>
            <w:r>
              <w:rPr>
                <w:rFonts w:hint="eastAsia" w:asciiTheme="minorEastAsia" w:hAnsiTheme="minorEastAsia" w:eastAsiaTheme="minorEastAsia" w:cstheme="minorEastAsia"/>
                <w:sz w:val="21"/>
                <w:szCs w:val="21"/>
              </w:rPr>
              <w:t>因本系统自身原因导致</w:t>
            </w:r>
            <w:r>
              <w:rPr>
                <w:rFonts w:hint="eastAsia" w:asciiTheme="minorEastAsia" w:hAnsiTheme="minorEastAsia" w:eastAsiaTheme="minorEastAsia" w:cstheme="minorEastAsia"/>
                <w:sz w:val="21"/>
                <w:szCs w:val="21"/>
                <w:lang w:eastAsia="zh-TW"/>
              </w:rPr>
              <w:t>不可用时间每增加8小时，扣减5%</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故障处理超时</w:t>
            </w:r>
          </w:p>
        </w:tc>
        <w:tc>
          <w:tcPr>
            <w:tcW w:w="5000" w:type="dxa"/>
            <w:noWrap w:val="0"/>
            <w:vAlign w:val="center"/>
          </w:tcPr>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一级或二级故障处理超时，每发生1次，扣减2%当期维保费用</w:t>
            </w:r>
          </w:p>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三级故障处理超时，每发生1次，扣减0.1%当期维保费用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缺陷处理超时</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紧急缺陷处理超时，每发生1次，扣减2%</w:t>
            </w:r>
            <w:r>
              <w:rPr>
                <w:rFonts w:hint="eastAsia" w:asciiTheme="minorEastAsia" w:hAnsiTheme="minorEastAsia" w:eastAsiaTheme="minorEastAsia" w:cstheme="minorEastAsia"/>
                <w:sz w:val="21"/>
                <w:szCs w:val="21"/>
              </w:rPr>
              <w:t>当期维保费用</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普通缺陷处理超时，每发生1次，扣减0.1%</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不遵守</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信息系统运维工作相关规定，进行违规操作</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每发生1次，扣减1%</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工作失误</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每发生1次，扣减0.5%</w:t>
            </w:r>
            <w:r>
              <w:rPr>
                <w:rFonts w:hint="eastAsia" w:asciiTheme="minorEastAsia" w:hAnsiTheme="minorEastAsia" w:eastAsiaTheme="minorEastAsia" w:cstheme="minorEastAsia"/>
                <w:sz w:val="21"/>
                <w:szCs w:val="21"/>
              </w:rPr>
              <w:t>当期维保费用</w:t>
            </w:r>
            <w:r>
              <w:rPr>
                <w:rFonts w:hint="eastAsia" w:asciiTheme="minorEastAsia" w:hAnsiTheme="minorEastAsia" w:eastAsiaTheme="minorEastAsia" w:cstheme="minorEastAsia"/>
                <w:sz w:val="21"/>
                <w:szCs w:val="21"/>
                <w:lang w:eastAsia="zh-TW"/>
              </w:rPr>
              <w:t>。造成重大影响的，酌情加重扣减。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客户投诉</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如经查实确为</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lang w:eastAsia="zh-TW"/>
              </w:rPr>
              <w:t>原因造成系统客户投诉，每投诉1次，扣减0.5%</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运维周报和月报、运行记录等运维文档提交或记录不及时，不完整，不规范，不参加工作例会</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每发生1次，扣减0.5%</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rPr>
              <w:t>如要求</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技术人员驻场工作但未驻场</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每发生1次，扣减</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TW"/>
              </w:rPr>
              <w:t>%</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lang w:eastAsia="zh-TW"/>
              </w:rPr>
              <w:t>未经</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书面同意，</w:t>
            </w:r>
            <w:r>
              <w:rPr>
                <w:rFonts w:hint="eastAsia" w:asciiTheme="minorEastAsia" w:hAnsiTheme="minorEastAsia" w:eastAsiaTheme="minorEastAsia" w:cstheme="minorEastAsia"/>
                <w:sz w:val="21"/>
                <w:szCs w:val="21"/>
              </w:rPr>
              <w:t>擅自</w:t>
            </w:r>
            <w:r>
              <w:rPr>
                <w:rFonts w:hint="eastAsia" w:asciiTheme="minorEastAsia" w:hAnsiTheme="minorEastAsia" w:eastAsiaTheme="minorEastAsia" w:cstheme="minorEastAsia"/>
                <w:sz w:val="21"/>
                <w:szCs w:val="21"/>
                <w:lang w:eastAsia="zh-TW"/>
              </w:rPr>
              <w:t>更换维保服务人员</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每发生1人次，扣减</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TW"/>
              </w:rPr>
              <w:t>%</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维保服务人员不遵守</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工作纪律</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每发生1人次，扣减0.1%</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在遇到紧急事件处理时，维保服务人员电话未能及时接通</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每发生1人次，扣减0.</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TW"/>
              </w:rPr>
              <w:t>%</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5"/>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未按</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要求完成对不影响系统架构的局部功能调整</w:t>
            </w:r>
          </w:p>
        </w:tc>
        <w:tc>
          <w:tcPr>
            <w:tcW w:w="5000" w:type="dxa"/>
            <w:noWrap w:val="0"/>
            <w:vAlign w:val="center"/>
          </w:tcPr>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每发生1次，扣减1%当期维保费用</w:t>
            </w:r>
          </w:p>
        </w:tc>
      </w:tr>
    </w:tbl>
    <w:p>
      <w:pPr>
        <w:spacing w:line="560" w:lineRule="exact"/>
        <w:rPr>
          <w:rFonts w:hint="default" w:ascii="仿宋_GB2312" w:hAnsi="Calibri" w:eastAsia="仿宋_GB2312" w:cs="Times New Roman"/>
          <w:sz w:val="24"/>
          <w:szCs w:val="24"/>
          <w:lang w:val="en-US" w:eastAsia="zh-CN"/>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13F05"/>
    <w:multiLevelType w:val="multilevel"/>
    <w:tmpl w:val="03B13F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7E6FBB"/>
    <w:multiLevelType w:val="multilevel"/>
    <w:tmpl w:val="267E6FB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B11EF2"/>
    <w:multiLevelType w:val="multilevel"/>
    <w:tmpl w:val="26B11EF2"/>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8773D3"/>
    <w:multiLevelType w:val="multilevel"/>
    <w:tmpl w:val="498773D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C8377A"/>
    <w:multiLevelType w:val="multilevel"/>
    <w:tmpl w:val="54C8377A"/>
    <w:lvl w:ilvl="0" w:tentative="0">
      <w:start w:val="1"/>
      <w:numFmt w:val="chineseCountingThousand"/>
      <w:pStyle w:val="3"/>
      <w:suff w:val="space"/>
      <w:lvlText w:val="第%1条"/>
      <w:lvlJc w:val="left"/>
      <w:pPr>
        <w:ind w:left="2112" w:hanging="432"/>
      </w:pPr>
      <w:rPr>
        <w:rFonts w:hint="eastAsia"/>
      </w:rPr>
    </w:lvl>
    <w:lvl w:ilvl="1" w:tentative="0">
      <w:start w:val="1"/>
      <w:numFmt w:val="chineseCountingThousand"/>
      <w:pStyle w:val="4"/>
      <w:isLgl/>
      <w:suff w:val="space"/>
      <w:lvlText w:val="%1.%2"/>
      <w:lvlJc w:val="left"/>
      <w:pPr>
        <w:ind w:left="1206" w:hanging="576"/>
      </w:pPr>
      <w:rPr>
        <w:rFonts w:hint="eastAsia"/>
      </w:rPr>
    </w:lvl>
    <w:lvl w:ilvl="2" w:tentative="0">
      <w:start w:val="1"/>
      <w:numFmt w:val="decimal"/>
      <w:pStyle w:val="5"/>
      <w:isLgl/>
      <w:suff w:val="space"/>
      <w:lvlText w:val="%1.%2.%3"/>
      <w:lvlJc w:val="left"/>
      <w:pPr>
        <w:ind w:left="2970" w:hanging="720"/>
      </w:pPr>
      <w:rPr>
        <w:rFonts w:hint="eastAsia"/>
      </w:rPr>
    </w:lvl>
    <w:lvl w:ilvl="3" w:tentative="0">
      <w:start w:val="1"/>
      <w:numFmt w:val="decimal"/>
      <w:isLgl/>
      <w:suff w:val="space"/>
      <w:lvlText w:val="%2.%3.%4"/>
      <w:lvlJc w:val="left"/>
      <w:pPr>
        <w:ind w:left="3537" w:hanging="864"/>
      </w:pPr>
      <w:rPr>
        <w:rFonts w:hint="eastAsia" w:cs="Times New Roman"/>
        <w:b w:val="0"/>
        <w:i w:val="0"/>
        <w:iCs w:val="0"/>
        <w:caps w:val="0"/>
        <w:smallCaps w:val="0"/>
        <w:strike w:val="0"/>
        <w:dstrike w:val="0"/>
        <w:vanish w:val="0"/>
        <w:spacing w:val="0"/>
        <w:position w:val="0"/>
        <w:u w:val="none"/>
        <w:vertAlign w:val="baseline"/>
      </w:rPr>
    </w:lvl>
    <w:lvl w:ilvl="4" w:tentative="0">
      <w:start w:val="1"/>
      <w:numFmt w:val="decimal"/>
      <w:lvlText w:val="%1.%2.%3.%4.%5"/>
      <w:lvlJc w:val="left"/>
      <w:pPr>
        <w:ind w:left="2688" w:hanging="1008"/>
      </w:pPr>
      <w:rPr>
        <w:rFonts w:hint="eastAsia"/>
      </w:rPr>
    </w:lvl>
    <w:lvl w:ilvl="5" w:tentative="0">
      <w:start w:val="1"/>
      <w:numFmt w:val="decimal"/>
      <w:lvlText w:val="%1.%2.%3.%4.%5.%6"/>
      <w:lvlJc w:val="left"/>
      <w:pPr>
        <w:ind w:left="2832" w:hanging="1152"/>
      </w:pPr>
      <w:rPr>
        <w:rFonts w:hint="eastAsia"/>
      </w:rPr>
    </w:lvl>
    <w:lvl w:ilvl="6" w:tentative="0">
      <w:start w:val="1"/>
      <w:numFmt w:val="decimal"/>
      <w:lvlText w:val="%1.%2.%3.%4.%5.%6.%7"/>
      <w:lvlJc w:val="left"/>
      <w:pPr>
        <w:ind w:left="2976" w:hanging="1296"/>
      </w:pPr>
      <w:rPr>
        <w:rFonts w:hint="eastAsia"/>
      </w:rPr>
    </w:lvl>
    <w:lvl w:ilvl="7" w:tentative="0">
      <w:start w:val="1"/>
      <w:numFmt w:val="decimal"/>
      <w:lvlText w:val="%1.%2.%3.%4.%5.%6.%7.%8"/>
      <w:lvlJc w:val="left"/>
      <w:pPr>
        <w:ind w:left="3120" w:hanging="1440"/>
      </w:pPr>
      <w:rPr>
        <w:rFonts w:hint="eastAsia"/>
      </w:rPr>
    </w:lvl>
    <w:lvl w:ilvl="8" w:tentative="0">
      <w:start w:val="1"/>
      <w:numFmt w:val="decimal"/>
      <w:lvlText w:val="%1.%2.%3.%4.%5.%6.%7.%8.%9"/>
      <w:lvlJc w:val="left"/>
      <w:pPr>
        <w:ind w:left="3264" w:hanging="1584"/>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40AA"/>
    <w:rsid w:val="01D35257"/>
    <w:rsid w:val="02AD58B6"/>
    <w:rsid w:val="02CE1877"/>
    <w:rsid w:val="032436E0"/>
    <w:rsid w:val="04D10B79"/>
    <w:rsid w:val="057834E2"/>
    <w:rsid w:val="0900328A"/>
    <w:rsid w:val="0AFC1F3D"/>
    <w:rsid w:val="0E313BE2"/>
    <w:rsid w:val="0E834DF9"/>
    <w:rsid w:val="11DF6871"/>
    <w:rsid w:val="13F80988"/>
    <w:rsid w:val="152A7575"/>
    <w:rsid w:val="167965AA"/>
    <w:rsid w:val="19A5390B"/>
    <w:rsid w:val="1CA10506"/>
    <w:rsid w:val="1DAB6C73"/>
    <w:rsid w:val="1DD20021"/>
    <w:rsid w:val="1F9057AC"/>
    <w:rsid w:val="1FBB1B2B"/>
    <w:rsid w:val="25986AB4"/>
    <w:rsid w:val="2C663FFB"/>
    <w:rsid w:val="30B21119"/>
    <w:rsid w:val="312F1A7B"/>
    <w:rsid w:val="350C4A1D"/>
    <w:rsid w:val="365A0EF9"/>
    <w:rsid w:val="3B1E4EAB"/>
    <w:rsid w:val="3C327EAA"/>
    <w:rsid w:val="3FAB2132"/>
    <w:rsid w:val="45421338"/>
    <w:rsid w:val="47F703C9"/>
    <w:rsid w:val="486C4969"/>
    <w:rsid w:val="4F3D48D1"/>
    <w:rsid w:val="4FC31B93"/>
    <w:rsid w:val="52260C11"/>
    <w:rsid w:val="546E76B9"/>
    <w:rsid w:val="562B3275"/>
    <w:rsid w:val="5B7128E8"/>
    <w:rsid w:val="5B941CF1"/>
    <w:rsid w:val="5F51298D"/>
    <w:rsid w:val="615341A3"/>
    <w:rsid w:val="62520513"/>
    <w:rsid w:val="6C267D23"/>
    <w:rsid w:val="7091154E"/>
    <w:rsid w:val="72732E7D"/>
    <w:rsid w:val="7401203F"/>
    <w:rsid w:val="7C4330EA"/>
    <w:rsid w:val="7D4806F8"/>
    <w:rsid w:val="7EAE33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next w:val="1"/>
    <w:qFormat/>
    <w:uiPriority w:val="9"/>
    <w:pPr>
      <w:numPr>
        <w:ilvl w:val="0"/>
        <w:numId w:val="1"/>
      </w:numPr>
      <w:spacing w:line="360" w:lineRule="auto"/>
      <w:ind w:left="0" w:firstLine="480" w:firstLineChars="200"/>
      <w:jc w:val="both"/>
      <w:outlineLvl w:val="0"/>
    </w:pPr>
    <w:rPr>
      <w:rFonts w:ascii="宋体" w:hAnsi="宋体" w:eastAsia="黑体" w:cs="Times New Roman"/>
      <w:bCs/>
      <w:kern w:val="44"/>
      <w:sz w:val="24"/>
      <w:szCs w:val="32"/>
      <w:lang w:bidi="ar-SA"/>
    </w:rPr>
  </w:style>
  <w:style w:type="paragraph" w:styleId="4">
    <w:name w:val="heading 2"/>
    <w:next w:val="1"/>
    <w:link w:val="11"/>
    <w:qFormat/>
    <w:uiPriority w:val="9"/>
    <w:pPr>
      <w:numPr>
        <w:ilvl w:val="1"/>
        <w:numId w:val="1"/>
      </w:numPr>
      <w:spacing w:line="360" w:lineRule="auto"/>
      <w:ind w:left="0" w:firstLine="200" w:firstLineChars="200"/>
      <w:outlineLvl w:val="1"/>
    </w:pPr>
    <w:rPr>
      <w:rFonts w:ascii="宋体" w:hAnsi="宋体" w:eastAsia="宋体" w:cs="Times New Roman"/>
      <w:bCs/>
      <w:kern w:val="2"/>
      <w:sz w:val="24"/>
      <w:szCs w:val="30"/>
      <w:lang w:bidi="ar-SA"/>
    </w:rPr>
  </w:style>
  <w:style w:type="paragraph" w:styleId="5">
    <w:name w:val="heading 3"/>
    <w:next w:val="1"/>
    <w:qFormat/>
    <w:uiPriority w:val="99"/>
    <w:pPr>
      <w:numPr>
        <w:ilvl w:val="2"/>
        <w:numId w:val="1"/>
      </w:numPr>
      <w:spacing w:line="360" w:lineRule="auto"/>
      <w:outlineLvl w:val="2"/>
    </w:pPr>
    <w:rPr>
      <w:rFonts w:ascii="宋体" w:hAnsi="宋体" w:eastAsia="宋体" w:cs="Times New Roman"/>
      <w:bCs/>
      <w:kern w:val="2"/>
      <w:sz w:val="24"/>
      <w:szCs w:val="28"/>
      <w:lang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6">
    <w:name w:val="table of authorities"/>
    <w:basedOn w:val="1"/>
    <w:next w:val="1"/>
    <w:qFormat/>
    <w:uiPriority w:val="0"/>
    <w:pPr>
      <w:widowControl w:val="0"/>
      <w:spacing w:line="360" w:lineRule="auto"/>
      <w:ind w:left="420" w:leftChars="200"/>
      <w:jc w:val="both"/>
    </w:pPr>
    <w:rPr>
      <w:rFonts w:ascii="Calibri" w:hAnsi="Calibri"/>
      <w:b/>
      <w:kern w:val="2"/>
      <w:sz w:val="28"/>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2 Char"/>
    <w:link w:val="4"/>
    <w:qFormat/>
    <w:uiPriority w:val="9"/>
    <w:rPr>
      <w:rFonts w:ascii="宋体" w:hAnsi="宋体" w:eastAsia="宋体" w:cs="Times New Roman"/>
      <w:bCs/>
      <w:kern w:val="2"/>
      <w:sz w:val="24"/>
      <w:szCs w:val="30"/>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2023-10-25T13:45:00Z</dcterms:created>
  <dc:creator>zoroone</dc:creator>
  <cp:lastModifiedBy>GZNX</cp:lastModifiedBy>
  <dcterms:modified xsi:type="dcterms:W3CDTF">2024-03-01T07:10:24Z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