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default" w:ascii="微软简仿宋" w:hAnsi="微软简仿宋" w:eastAsia="微软简仿宋" w:cs="微软简仿宋"/>
          <w:b/>
          <w:bCs/>
          <w:i w:val="0"/>
          <w:iCs w:val="0"/>
          <w:color w:val="000000"/>
          <w:kern w:val="0"/>
          <w:sz w:val="32"/>
          <w:szCs w:val="32"/>
          <w:highlight w:val="none"/>
          <w:u w:val="none"/>
          <w:lang w:val="en-US" w:eastAsia="zh-CN" w:bidi="ar"/>
        </w:rPr>
      </w:pPr>
      <w:r>
        <w:rPr>
          <w:rFonts w:hint="eastAsia" w:ascii="微软简仿宋" w:hAnsi="微软简仿宋" w:eastAsia="微软简仿宋" w:cs="微软简仿宋"/>
          <w:b/>
          <w:bCs/>
          <w:i w:val="0"/>
          <w:iCs w:val="0"/>
          <w:color w:val="000000"/>
          <w:kern w:val="0"/>
          <w:sz w:val="32"/>
          <w:szCs w:val="32"/>
          <w:highlight w:val="none"/>
          <w:u w:val="none"/>
          <w:lang w:val="en-US" w:eastAsia="zh-CN" w:bidi="ar"/>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color w:val="auto"/>
          <w:sz w:val="48"/>
          <w:szCs w:val="48"/>
          <w:lang w:val="en-US" w:eastAsia="zh-CN"/>
        </w:rPr>
      </w:pPr>
      <w:r>
        <w:rPr>
          <w:rFonts w:hint="eastAsia" w:ascii="方正大标宋简体" w:hAnsi="方正大标宋简体" w:eastAsia="方正大标宋简体" w:cs="方正大标宋简体"/>
          <w:b/>
          <w:bCs/>
          <w:color w:val="auto"/>
          <w:sz w:val="48"/>
          <w:szCs w:val="48"/>
          <w:lang w:val="en-US" w:eastAsia="zh-CN"/>
        </w:rPr>
        <w:t>采购项目需求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大标宋简体" w:hAnsi="方正大标宋简体" w:eastAsia="方正大标宋简体" w:cs="方正大标宋简体"/>
          <w:b/>
          <w:bCs/>
          <w:color w:val="auto"/>
          <w:sz w:val="44"/>
          <w:szCs w:val="44"/>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项目名称：邮件系统维保服务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p>
      <w:r>
        <w:br w:type="page"/>
      </w:r>
    </w:p>
    <w:p>
      <w:pPr>
        <w:ind w:left="482" w:firstLine="0" w:firstLineChars="0"/>
        <w:rPr>
          <w:rFonts w:hint="eastAsia"/>
          <w:b/>
          <w:bCs/>
          <w:color w:val="auto"/>
        </w:rPr>
      </w:pPr>
    </w:p>
    <w:p>
      <w:pPr>
        <w:numPr>
          <w:ilvl w:val="0"/>
          <w:numId w:val="2"/>
        </w:numPr>
        <w:spacing w:line="560" w:lineRule="exact"/>
        <w:ind w:firstLine="640" w:firstLineChars="200"/>
        <w:outlineLvl w:val="0"/>
        <w:rPr>
          <w:rFonts w:hint="eastAsia" w:ascii="黑体" w:hAnsi="黑体" w:eastAsia="黑体" w:cs="Times New Roman"/>
          <w:sz w:val="32"/>
          <w:szCs w:val="32"/>
          <w:lang w:val="en-US" w:eastAsia="zh-CN"/>
        </w:rPr>
      </w:pPr>
      <w:bookmarkStart w:id="0" w:name="_Toc60758346"/>
      <w:r>
        <w:rPr>
          <w:rFonts w:hint="eastAsia" w:ascii="黑体" w:hAnsi="黑体" w:eastAsia="黑体" w:cs="Times New Roman"/>
          <w:sz w:val="32"/>
          <w:szCs w:val="32"/>
          <w:lang w:val="en-US" w:eastAsia="zh-CN"/>
        </w:rPr>
        <w:t>项目介绍</w:t>
      </w:r>
    </w:p>
    <w:p>
      <w:pPr>
        <w:spacing w:line="560" w:lineRule="exact"/>
        <w:ind w:firstLine="480" w:firstLineChars="200"/>
        <w:rPr>
          <w:rFonts w:hint="default"/>
          <w:lang w:val="en-US" w:eastAsia="zh-CN"/>
        </w:rPr>
      </w:pPr>
      <w:r>
        <w:rPr>
          <w:rFonts w:hint="eastAsia" w:ascii="仿宋_GB2312" w:hAnsi="Calibri" w:eastAsia="仿宋_GB2312" w:cs="Times New Roman"/>
          <w:sz w:val="24"/>
          <w:szCs w:val="24"/>
          <w:lang w:val="en-US" w:eastAsia="zh-CN"/>
        </w:rPr>
        <w:t>我社办公系统采用广东盈世计算机科技有限公司开发的Coremail邮件系统（信创版），该系统满足我社内部收发文件的需求，提供了稳定、安全、可靠的内部通讯服务，是我社办公沟通的重要手段之一。现需要采购该系统为期3年的维保服务。</w:t>
      </w:r>
    </w:p>
    <w:p>
      <w:pPr>
        <w:spacing w:line="560" w:lineRule="exact"/>
        <w:ind w:firstLine="640" w:firstLineChars="20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二、服务要求</w:t>
      </w:r>
      <w:bookmarkEnd w:id="0"/>
    </w:p>
    <w:p>
      <w:pPr>
        <w:spacing w:line="560" w:lineRule="exact"/>
        <w:ind w:firstLine="480" w:firstLineChars="200"/>
        <w:rPr>
          <w:rFonts w:hint="default"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投标人对招标人的邮件系统进行</w:t>
      </w:r>
      <w:r>
        <w:rPr>
          <w:rFonts w:hint="default" w:ascii="仿宋_GB2312" w:hAnsi="Calibri" w:eastAsia="仿宋_GB2312" w:cs="Times New Roman"/>
          <w:sz w:val="24"/>
          <w:szCs w:val="24"/>
          <w:lang w:val="en-US" w:eastAsia="zh-CN"/>
        </w:rPr>
        <w:t>维护</w:t>
      </w:r>
      <w:r>
        <w:rPr>
          <w:rFonts w:hint="eastAsia" w:ascii="仿宋_GB2312" w:hAnsi="Calibri" w:eastAsia="仿宋_GB2312" w:cs="Times New Roman"/>
          <w:sz w:val="24"/>
          <w:szCs w:val="24"/>
          <w:lang w:val="en-US" w:eastAsia="zh-CN"/>
        </w:rPr>
        <w:t>和</w:t>
      </w:r>
      <w:r>
        <w:rPr>
          <w:rFonts w:hint="default" w:ascii="仿宋_GB2312" w:hAnsi="Calibri" w:eastAsia="仿宋_GB2312" w:cs="Times New Roman"/>
          <w:sz w:val="24"/>
          <w:szCs w:val="24"/>
          <w:lang w:val="en-US" w:eastAsia="zh-CN"/>
        </w:rPr>
        <w:t>保障服务，以确保应用系统正常稳定运行</w:t>
      </w:r>
      <w:r>
        <w:rPr>
          <w:rFonts w:hint="eastAsia" w:ascii="仿宋_GB2312" w:hAnsi="Calibri" w:eastAsia="仿宋_GB2312" w:cs="Times New Roman"/>
          <w:sz w:val="24"/>
          <w:szCs w:val="24"/>
          <w:lang w:val="en-US" w:eastAsia="zh-CN"/>
        </w:rPr>
        <w:t>，</w:t>
      </w:r>
      <w:r>
        <w:rPr>
          <w:rFonts w:hint="default" w:ascii="仿宋_GB2312" w:hAnsi="Calibri" w:eastAsia="仿宋_GB2312" w:cs="Times New Roman"/>
          <w:sz w:val="24"/>
          <w:szCs w:val="24"/>
          <w:lang w:val="en-US" w:eastAsia="zh-CN"/>
        </w:rPr>
        <w:t>包括但不限于系统有效生命周期内（即</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废止该系统运行之前）的技术咨询、产品版本升级、缺陷修复、故障处理、系统巡检</w:t>
      </w:r>
      <w:r>
        <w:rPr>
          <w:rFonts w:hint="eastAsia" w:ascii="仿宋_GB2312" w:hAnsi="Calibri" w:eastAsia="仿宋_GB2312" w:cs="Times New Roman"/>
          <w:sz w:val="24"/>
          <w:szCs w:val="24"/>
          <w:lang w:val="en-US" w:eastAsia="zh-CN"/>
        </w:rPr>
        <w:t>等，维保服务期限为3年</w:t>
      </w:r>
      <w:r>
        <w:rPr>
          <w:rFonts w:hint="default" w:ascii="仿宋_GB2312" w:hAnsi="Calibri" w:eastAsia="仿宋_GB2312" w:cs="Times New Roman"/>
          <w:sz w:val="24"/>
          <w:szCs w:val="24"/>
          <w:lang w:val="en-US" w:eastAsia="zh-CN"/>
        </w:rPr>
        <w:t>。</w:t>
      </w:r>
    </w:p>
    <w:p>
      <w:pPr>
        <w:spacing w:line="560" w:lineRule="exact"/>
        <w:ind w:firstLine="480" w:firstLineChars="200"/>
        <w:rPr>
          <w:rFonts w:hint="default" w:ascii="仿宋_GB2312" w:hAnsi="Calibri" w:eastAsia="仿宋_GB2312" w:cs="Times New Roman"/>
          <w:sz w:val="24"/>
          <w:szCs w:val="24"/>
          <w:lang w:val="en-US" w:eastAsia="zh-CN"/>
        </w:rPr>
      </w:pPr>
      <w:r>
        <w:rPr>
          <w:rFonts w:hint="default" w:ascii="仿宋_GB2312" w:hAnsi="Calibri" w:eastAsia="仿宋_GB2312" w:cs="Times New Roman"/>
          <w:sz w:val="24"/>
          <w:szCs w:val="24"/>
          <w:lang w:val="en-US" w:eastAsia="zh-CN"/>
        </w:rPr>
        <w:t>服务方式包括但不限于现场人员支持、现场咨询、现场排除故障、电话咨询、远程支持等。系统出现异常时，</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应及时通过电话、邮件等方式通知</w:t>
      </w:r>
      <w:r>
        <w:rPr>
          <w:rFonts w:hint="eastAsia" w:ascii="仿宋_GB2312" w:hAnsi="Calibri" w:eastAsia="仿宋_GB2312" w:cs="Times New Roman"/>
          <w:sz w:val="24"/>
          <w:szCs w:val="24"/>
          <w:lang w:val="en-US" w:eastAsia="zh-CN"/>
        </w:rPr>
        <w:t>投标人</w:t>
      </w:r>
      <w:r>
        <w:rPr>
          <w:rFonts w:hint="default" w:ascii="仿宋_GB2312" w:hAnsi="Calibri" w:eastAsia="仿宋_GB2312" w:cs="Times New Roman"/>
          <w:sz w:val="24"/>
          <w:szCs w:val="24"/>
          <w:lang w:val="en-US" w:eastAsia="zh-CN"/>
        </w:rPr>
        <w:t>，</w:t>
      </w:r>
      <w:r>
        <w:rPr>
          <w:rFonts w:hint="eastAsia" w:ascii="仿宋_GB2312" w:hAnsi="Calibri" w:eastAsia="仿宋_GB2312" w:cs="Times New Roman"/>
          <w:sz w:val="24"/>
          <w:szCs w:val="24"/>
          <w:lang w:val="en-US" w:eastAsia="zh-CN"/>
        </w:rPr>
        <w:t>投标人</w:t>
      </w:r>
      <w:r>
        <w:rPr>
          <w:rFonts w:hint="default" w:ascii="仿宋_GB2312" w:hAnsi="Calibri" w:eastAsia="仿宋_GB2312" w:cs="Times New Roman"/>
          <w:sz w:val="24"/>
          <w:szCs w:val="24"/>
          <w:lang w:val="en-US" w:eastAsia="zh-CN"/>
        </w:rPr>
        <w:t>收到</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通知后应立即配合</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查明系统异常原因，如果通过电话、远程协助等方式无法使系统恢复正常，或者</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认为有必要的情况下，</w:t>
      </w:r>
      <w:r>
        <w:rPr>
          <w:rFonts w:hint="eastAsia" w:ascii="仿宋_GB2312" w:hAnsi="Calibri" w:eastAsia="仿宋_GB2312" w:cs="Times New Roman"/>
          <w:sz w:val="24"/>
          <w:szCs w:val="24"/>
          <w:lang w:val="en-US" w:eastAsia="zh-CN"/>
        </w:rPr>
        <w:t>招标人</w:t>
      </w:r>
      <w:r>
        <w:rPr>
          <w:rFonts w:hint="default" w:ascii="仿宋_GB2312" w:hAnsi="Calibri" w:eastAsia="仿宋_GB2312" w:cs="Times New Roman"/>
          <w:sz w:val="24"/>
          <w:szCs w:val="24"/>
          <w:lang w:val="en-US" w:eastAsia="zh-CN"/>
        </w:rPr>
        <w:t>有权要求</w:t>
      </w:r>
      <w:r>
        <w:rPr>
          <w:rFonts w:hint="eastAsia" w:ascii="仿宋_GB2312" w:hAnsi="Calibri" w:eastAsia="仿宋_GB2312" w:cs="Times New Roman"/>
          <w:sz w:val="24"/>
          <w:szCs w:val="24"/>
          <w:lang w:val="en-US" w:eastAsia="zh-CN"/>
        </w:rPr>
        <w:t>投标人</w:t>
      </w:r>
      <w:r>
        <w:rPr>
          <w:rFonts w:hint="default" w:ascii="仿宋_GB2312" w:hAnsi="Calibri" w:eastAsia="仿宋_GB2312" w:cs="Times New Roman"/>
          <w:sz w:val="24"/>
          <w:szCs w:val="24"/>
          <w:lang w:val="en-US" w:eastAsia="zh-CN"/>
        </w:rPr>
        <w:t>到达现场进行支持服务。</w:t>
      </w:r>
    </w:p>
    <w:p>
      <w:pPr>
        <w:spacing w:line="560" w:lineRule="exact"/>
        <w:ind w:firstLine="640" w:firstLineChars="200"/>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三、服务须满足的规范、标准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ab/>
      </w:r>
      <w:r>
        <w:rPr>
          <w:rFonts w:hint="eastAsia" w:ascii="仿宋_GB2312" w:hAnsi="Calibri" w:eastAsia="仿宋_GB2312" w:cs="Times New Roman"/>
          <w:sz w:val="24"/>
          <w:szCs w:val="24"/>
          <w:lang w:val="en-US" w:eastAsia="zh-CN"/>
        </w:rPr>
        <w:t>1、定义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（1）故障：指信息系统在没有预先安排的情况下出现的对用户提供服务的中断。故障级别分为：</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一级故障：系统不能运行或存在故障，导致所有或部分业务都无法运行。</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二级故障：辖内部分机构的业务系统无法运行。</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三级故障：系统运行出现故障，但是不影响业务办理，或者有其他替代方式能够完成业务办理。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（2）缺陷：指信息系统存在的某种破坏正常运行能力的问题、错误，或者隐藏的功能缺陷，即将但是还没有造成系统故障。缺陷级别分为：</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紧急缺陷：指信息系统存在异常，即将造成大量业务中断或存在高风险安全漏洞，随时可能发生信息系统故障或安全事件。</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重大缺陷：指信息系统发生异常，不影响信息系统整体运行，即将或已经造成少量业务中断，对安全运行影响较大，尚能保持运行，不及时处理会造成信息系统停运等故障情况。</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普通缺陷：指设备(系统)、设施发生的异常，不影响业务运行，不影响设备（系统）整体运行，短时之内不会劣化为重大缺陷、紧急缺陷，对运行虽有影响但尚能保持运行。</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（3）变更：包括故障及缺陷的处理、日常运维中的数据变更和配置变更、定制化功能需求变更等。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2、维保服务范围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系统有效生命周期内，投标人维保服务包括但不限于以下内容：</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系统运行问题的诊断和处理。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系统运行期间技术咨询。</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产品版本升级、缺陷修复、故障处理。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系统巡检、特殊时段保障。</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信息备份。</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配置变更、数据变更。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不超过系统建设总工作量10%的局部功能的增加和调整。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未来新增定制化改造内容的维保。</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3、维保服务要求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（1）维保服务方式</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服务方式包括但不限于现场人员支持、现场咨询、现场排除故障、电话咨询、远程支持等。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（2）维保服务描述</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投标人在维保服务期按照招标人系统运维管理相关规定，为招标人提供以下运维服务：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537"/>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服务项</w:t>
            </w:r>
          </w:p>
        </w:tc>
        <w:tc>
          <w:tcPr>
            <w:tcW w:w="6249"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系统巡检</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对系统进行巡视，检查系统运行状态</w:t>
            </w:r>
            <w:r>
              <w:rPr>
                <w:rFonts w:hint="eastAsia" w:asciiTheme="minorEastAsia" w:hAnsiTheme="minorEastAsia" w:eastAsiaTheme="minorEastAsia" w:cstheme="minorEastAsia"/>
                <w:sz w:val="21"/>
                <w:szCs w:val="21"/>
              </w:rPr>
              <w:t>，及时解决突发问题；</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重大节假日</w:t>
            </w:r>
            <w:r>
              <w:rPr>
                <w:rFonts w:hint="eastAsia" w:asciiTheme="minorEastAsia" w:hAnsiTheme="minorEastAsia" w:eastAsiaTheme="minorEastAsia" w:cstheme="minorEastAsia"/>
                <w:sz w:val="21"/>
                <w:szCs w:val="21"/>
              </w:rPr>
              <w:t>或重要时点</w:t>
            </w:r>
            <w:r>
              <w:rPr>
                <w:rFonts w:hint="eastAsia" w:asciiTheme="minorEastAsia" w:hAnsiTheme="minorEastAsia" w:eastAsiaTheme="minorEastAsia" w:cstheme="minorEastAsia"/>
                <w:sz w:val="21"/>
                <w:szCs w:val="21"/>
                <w:lang w:eastAsia="zh-TW"/>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特殊时段保障</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技术咨询</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7*24小时响应用户电话咨询，进行系统维护指导；</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信息备份</w:t>
            </w:r>
          </w:p>
        </w:tc>
        <w:tc>
          <w:tcPr>
            <w:tcW w:w="62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故障及缺陷处理</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1）对影响系统可用性的故障及缺陷或突发事件进行处置，最大化系统可用率、杜绝信息安全事件、保证系统应用性能</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2）对系统BUG或功能BUG进行处理完善</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3）对系统性能进行优化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w:t>
            </w:r>
          </w:p>
        </w:tc>
        <w:tc>
          <w:tcPr>
            <w:tcW w:w="62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1）完成系统运行环境、运行参数、操作系统补丁的升级和调优工作</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2）配合完成系统测试环境搭建</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3）配合完成系统迁移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w:t>
            </w:r>
            <w:r>
              <w:rPr>
                <w:rFonts w:hint="eastAsia" w:asciiTheme="minorEastAsia" w:hAnsiTheme="minorEastAsia" w:eastAsiaTheme="minorEastAsia" w:cstheme="minorEastAsia"/>
                <w:sz w:val="21"/>
                <w:szCs w:val="21"/>
                <w:lang w:eastAsia="zh-TW"/>
              </w:rPr>
              <w:t>版本</w:t>
            </w:r>
            <w:r>
              <w:rPr>
                <w:rFonts w:hint="eastAsia" w:asciiTheme="minorEastAsia" w:hAnsiTheme="minorEastAsia" w:eastAsiaTheme="minorEastAsia" w:cstheme="minorEastAsia"/>
                <w:sz w:val="21"/>
                <w:szCs w:val="21"/>
              </w:rPr>
              <w:t>升级</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系统程序</w:t>
            </w:r>
            <w:r>
              <w:rPr>
                <w:rFonts w:hint="eastAsia" w:asciiTheme="minorEastAsia" w:hAnsiTheme="minorEastAsia" w:eastAsiaTheme="minorEastAsia" w:cstheme="minorEastAsia"/>
                <w:sz w:val="21"/>
                <w:szCs w:val="21"/>
              </w:rPr>
              <w:t>发布、部署及相关文档等</w:t>
            </w:r>
            <w:r>
              <w:rPr>
                <w:rFonts w:hint="eastAsia" w:asciiTheme="minorEastAsia" w:hAnsiTheme="minorEastAsia" w:eastAsiaTheme="minorEastAsia" w:cstheme="minorEastAsia"/>
                <w:sz w:val="21"/>
                <w:szCs w:val="21"/>
                <w:lang w:eastAsia="zh-TW"/>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局部功能调整</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对系统功能进行局部功能更改，并同步对《需求说明》、《设计文档》、《数据字典》、《使用手册》</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TW"/>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w:t>
            </w:r>
          </w:p>
        </w:tc>
        <w:tc>
          <w:tcPr>
            <w:tcW w:w="62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对因用户误操作、通过系统功能无法更正的应用数据，在</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pPr>
              <w:numPr>
                <w:ilvl w:val="0"/>
                <w:numId w:val="3"/>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15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其他</w:t>
            </w:r>
          </w:p>
        </w:tc>
        <w:tc>
          <w:tcPr>
            <w:tcW w:w="6249"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1）针对系统可能的突发事件，配合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编制应急预案，并配合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进行应急演练</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2）配合进行安全测评，以及安全整改和加固</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3）配合完成与本系统相关的其它运维服务工作</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4）协助</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完成制定IT服务的相关流程、制度，详细列出针对不同事件和问题的技术方案和解决方案，并提供相关技术参考资料等</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r>
    </w:tbl>
    <w:p>
      <w:pPr>
        <w:ind w:firstLine="480"/>
      </w:pP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（3）服务响应时限和服务周期要求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13"/>
        <w:gridCol w:w="5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2013"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服务项</w:t>
            </w:r>
          </w:p>
        </w:tc>
        <w:tc>
          <w:tcPr>
            <w:tcW w:w="5772"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系统巡检</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特殊时段保障</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技术咨询</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1）提供7×24小时服务</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信息备份</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故障及缺陷处理</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1）提供7×24小时服务</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2）</w:t>
            </w:r>
            <w:r>
              <w:rPr>
                <w:rFonts w:hint="eastAsia" w:asciiTheme="minorEastAsia" w:hAnsiTheme="minorEastAsia" w:eastAsiaTheme="minorEastAsia" w:cstheme="minorEastAsia"/>
                <w:sz w:val="21"/>
                <w:szCs w:val="21"/>
              </w:rPr>
              <w:t>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产品版本升级</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top"/>
          </w:tcPr>
          <w:p>
            <w:pPr>
              <w:numPr>
                <w:ilvl w:val="0"/>
                <w:numId w:val="4"/>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2013"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数据变更及其他</w:t>
            </w:r>
          </w:p>
        </w:tc>
        <w:tc>
          <w:tcPr>
            <w:tcW w:w="5772"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满足</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时限要求</w:t>
            </w:r>
          </w:p>
        </w:tc>
      </w:tr>
    </w:tbl>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（4）故障处理时限要求：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一级故障：要求30分钟内予以响应，经招标人评估，需要投标人到现场解决的，投标人维护人员如在招标人所在地或是招标人所辖内的机构（包括分支机构）所在地，要求2小时内到达现场；如在外地，到达现场所用时间应控制在12小时内。</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二级故障：要求1小时内予以响应，经招标人评估，需要投标人到现场解决的，投标人维护人员如在招标人所在地或是招标人所辖内的机构（包括分支机构）所在地，要求4小时内到达现场；如在外地，到达现场所用时间应控制在24小时内。</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三级故障：要求1小时内予以响应，经招标人评估，需要投标人到现场解决的，投标人维护人员如在招标人所在地或是招标人所辖内的机构（包括分支机构）所在地，要求8小时内到达现场；如在外地，到达现场时间应控制在48小时内。</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（5）缺陷修复时限要求：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紧急缺陷：要求1小时内予以响应，2天内予以解决。</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重大缺陷：要求1天内予以响应，7天内予以解决。</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普通缺陷：要求2天内予以响应，甲乙双方友好协商。</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（5）交付物要求清单/清单要求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494"/>
        <w:gridCol w:w="3006"/>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1494"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服务项</w:t>
            </w:r>
          </w:p>
        </w:tc>
        <w:tc>
          <w:tcPr>
            <w:tcW w:w="3006"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交付物</w:t>
            </w:r>
          </w:p>
        </w:tc>
        <w:tc>
          <w:tcPr>
            <w:tcW w:w="3349" w:type="dxa"/>
            <w:noWrap w:val="0"/>
            <w:vAlign w:val="top"/>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系统巡检</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巡检报告</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1494"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特殊时段保障</w:t>
            </w:r>
          </w:p>
        </w:tc>
        <w:tc>
          <w:tcPr>
            <w:tcW w:w="3006" w:type="dxa"/>
            <w:noWrap w:val="0"/>
            <w:vAlign w:val="top"/>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缺陷处理报告</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noWrap w:val="0"/>
            <w:vAlign w:val="center"/>
          </w:tcPr>
          <w:p>
            <w:pPr>
              <w:numPr>
                <w:ilvl w:val="0"/>
                <w:numId w:val="5"/>
              </w:numPr>
              <w:adjustRightInd w:val="0"/>
              <w:snapToGrid w:val="0"/>
              <w:spacing w:line="240" w:lineRule="auto"/>
              <w:ind w:firstLineChars="0"/>
              <w:jc w:val="left"/>
              <w:rPr>
                <w:rFonts w:hint="eastAsia" w:asciiTheme="minorEastAsia" w:hAnsiTheme="minorEastAsia" w:eastAsiaTheme="minorEastAsia" w:cstheme="minorEastAsia"/>
                <w:sz w:val="21"/>
                <w:szCs w:val="21"/>
              </w:rPr>
            </w:pPr>
          </w:p>
        </w:tc>
        <w:tc>
          <w:tcPr>
            <w:tcW w:w="1494" w:type="dxa"/>
            <w:vMerge w:val="restart"/>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w:t>
            </w:r>
          </w:p>
        </w:tc>
        <w:tc>
          <w:tcPr>
            <w:tcW w:w="3006"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故障处理报告或记录</w:t>
            </w:r>
          </w:p>
        </w:tc>
        <w:tc>
          <w:tcPr>
            <w:tcW w:w="3349"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continue"/>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c>
          <w:tcPr>
            <w:tcW w:w="3006"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更新《系统故障处置指南》</w:t>
            </w:r>
          </w:p>
        </w:tc>
        <w:tc>
          <w:tcPr>
            <w:tcW w:w="3349" w:type="dxa"/>
            <w:noWrap w:val="0"/>
            <w:vAlign w:val="center"/>
          </w:tcPr>
          <w:p>
            <w:pPr>
              <w:widowControl/>
              <w:spacing w:line="440" w:lineRule="exact"/>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restart"/>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缺陷处理报告或记录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continue"/>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更新《系统缺陷处置指南》</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restart"/>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restart"/>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Merge w:val="continue"/>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vMerge w:val="continue"/>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更新《系统配置指南》</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产品版本升级</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产品版本升级记录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需求变更</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更新《需求说明书》、《设计文档》、《数据字典》、《使用手册》</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lang w:eastAsia="zh-TW"/>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数据变更记录</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numPr>
                <w:ilvl w:val="0"/>
                <w:numId w:val="5"/>
              </w:numPr>
              <w:adjustRightInd w:val="0"/>
              <w:snapToGrid w:val="0"/>
              <w:spacing w:line="240" w:lineRule="auto"/>
              <w:ind w:firstLineChars="0"/>
              <w:jc w:val="center"/>
              <w:rPr>
                <w:rFonts w:hint="eastAsia" w:asciiTheme="minorEastAsia" w:hAnsiTheme="minorEastAsia" w:eastAsiaTheme="minorEastAsia" w:cstheme="minorEastAsia"/>
                <w:sz w:val="21"/>
                <w:szCs w:val="21"/>
              </w:rPr>
            </w:pPr>
          </w:p>
        </w:tc>
        <w:tc>
          <w:tcPr>
            <w:tcW w:w="1494"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其他</w:t>
            </w:r>
          </w:p>
        </w:tc>
        <w:tc>
          <w:tcPr>
            <w:tcW w:w="3006"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按</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要求</w:t>
            </w:r>
          </w:p>
        </w:tc>
        <w:tc>
          <w:tcPr>
            <w:tcW w:w="3349"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按</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实际要求</w:t>
            </w:r>
          </w:p>
        </w:tc>
      </w:tr>
    </w:tbl>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招标人在收到投标人交付物后，若招标人认为交付物未满足项目要求，则投标人必须在招标人要求时限内对交付物做出修改，直至取得招标人认可后，方可再次提交。</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（6）运维服务质量要求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投标人提供的维保服务应规范、及时、有效，准确，满足以下质量要求：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保障运维期间系统运行稳定，不因为运维工作不规范、不及时、不到位或者工作失误，导致系统不可用；</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保障运维期间系统运行安全，不因为运维工作不规范、不及时、不到位或者工作失误，发生信息安全事件；</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不因运维工作不规范、不及时、不到位或工作失误以导致系统数据、应用数据和配置信息丢失；</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不因运维工作不规范、不及时、不到位或工作失误以及工作态度问题导致用户投诉；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严格遵循贵州省农村信用社联合社运维管理相关规定开展工作，杜绝运维工作违规违纪现象发生。</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（7）维保人员要求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投标人按招标人要求派驻现场的技术人员，对不满足招标人工作要求的，招标人有权要求投标人予以更换。</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投标人派驻现场的技术人员需遵守：</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 xml:space="preserve">不在现场超过1天须向招标人提出书面申请，获得同意后方可离开； </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人员更换须向招标人提出书面申请，获得同意后方可更换；</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必须遵守招标人现场工作纪律规定，包括考勤、着装、纪律等。</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（8）工作规范要求</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投标人必须严格遵循招标人信息系统相关工作流程、规范、标准和制度要求，在招标人指定平台中按照开展维保服务工作，做好各项工作的过程及结果的详细记录；</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投标人必须严格执行工作审批流程，未经许可不得擅自扩大工作范围；</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投标人在运维工作中必须严格遵循早发现、早汇报、早处理原则。任何情况下，都不能向招标人隐瞒维保工作真实情况；</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投标人在维保工作中要做好备份、测试、监护等风险预防措施，杜绝工作失误造成的系统故障、数据丢失等事件；</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4、维保服务考核</w:t>
      </w:r>
    </w:p>
    <w:p>
      <w:pPr>
        <w:spacing w:line="560" w:lineRule="exact"/>
        <w:ind w:firstLine="480" w:firstLineChars="200"/>
        <w:rPr>
          <w:rFonts w:hint="eastAsia" w:ascii="仿宋_GB2312" w:hAnsi="Calibri" w:eastAsia="仿宋_GB2312" w:cs="Times New Roman"/>
          <w:sz w:val="24"/>
          <w:szCs w:val="24"/>
          <w:lang w:val="en-US" w:eastAsia="zh-CN"/>
        </w:rPr>
      </w:pPr>
      <w:r>
        <w:rPr>
          <w:rFonts w:hint="eastAsia" w:ascii="仿宋_GB2312" w:hAnsi="Calibri" w:eastAsia="仿宋_GB2312" w:cs="Times New Roman"/>
          <w:sz w:val="24"/>
          <w:szCs w:val="24"/>
          <w:lang w:val="en-US" w:eastAsia="zh-CN"/>
        </w:rPr>
        <w:t>招标人根据下表所列考核办法对投标人进行考核，并按照从当期维保费用扣除考核款后的余额支付投标人。</w:t>
      </w:r>
    </w:p>
    <w:tbl>
      <w:tblPr>
        <w:tblStyle w:val="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3103"/>
        <w:gridCol w:w="5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序号</w:t>
            </w:r>
          </w:p>
        </w:tc>
        <w:tc>
          <w:tcPr>
            <w:tcW w:w="3103" w:type="dxa"/>
            <w:shd w:val="clear" w:color="auto" w:fill="auto"/>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lang w:eastAsia="zh-TW"/>
              </w:rPr>
              <w:t>考核点</w:t>
            </w:r>
          </w:p>
        </w:tc>
        <w:tc>
          <w:tcPr>
            <w:tcW w:w="5000" w:type="dxa"/>
            <w:shd w:val="clear" w:color="auto" w:fill="auto"/>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b/>
                <w:sz w:val="21"/>
                <w:szCs w:val="21"/>
                <w:lang w:eastAsia="zh-TW"/>
              </w:rPr>
            </w:pPr>
            <w:r>
              <w:rPr>
                <w:rFonts w:hint="eastAsia" w:asciiTheme="minorEastAsia" w:hAnsiTheme="minorEastAsia" w:eastAsiaTheme="minorEastAsia" w:cstheme="minorEastAsia"/>
                <w:b/>
                <w:sz w:val="21"/>
                <w:szCs w:val="21"/>
              </w:rPr>
              <w:t>扣减</w:t>
            </w:r>
            <w:r>
              <w:rPr>
                <w:rFonts w:hint="eastAsia" w:asciiTheme="minorEastAsia" w:hAnsiTheme="minorEastAsia" w:eastAsiaTheme="minorEastAsia" w:cstheme="minorEastAsia"/>
                <w:b/>
                <w:sz w:val="21"/>
                <w:szCs w:val="21"/>
                <w:lang w:eastAsia="zh-TW"/>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在合同履行过程中存在故意或过失行为造成</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损失</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扣减当</w:t>
            </w:r>
            <w:r>
              <w:rPr>
                <w:rFonts w:hint="eastAsia" w:asciiTheme="minorEastAsia" w:hAnsiTheme="minorEastAsia" w:eastAsiaTheme="minorEastAsia" w:cstheme="minorEastAsia"/>
                <w:sz w:val="21"/>
                <w:szCs w:val="21"/>
              </w:rPr>
              <w:t>期全部维保费用</w:t>
            </w:r>
            <w:r>
              <w:rPr>
                <w:rFonts w:hint="eastAsia" w:asciiTheme="minorEastAsia" w:hAnsiTheme="minorEastAsia" w:eastAsiaTheme="minorEastAsia" w:cstheme="minorEastAsia"/>
                <w:sz w:val="21"/>
                <w:szCs w:val="21"/>
                <w:lang w:eastAsia="zh-TW"/>
              </w:rPr>
              <w:t>，并赔偿</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系统不可用超标</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rPr>
              <w:t>当期维保期</w:t>
            </w:r>
            <w:r>
              <w:rPr>
                <w:rFonts w:hint="eastAsia" w:asciiTheme="minorEastAsia" w:hAnsiTheme="minorEastAsia" w:eastAsiaTheme="minorEastAsia" w:cstheme="minorEastAsia"/>
                <w:sz w:val="21"/>
                <w:szCs w:val="21"/>
                <w:lang w:eastAsia="zh-TW"/>
              </w:rPr>
              <w:t>内，</w:t>
            </w:r>
            <w:r>
              <w:rPr>
                <w:rFonts w:hint="eastAsia" w:asciiTheme="minorEastAsia" w:hAnsiTheme="minorEastAsia" w:eastAsiaTheme="minorEastAsia" w:cstheme="minorEastAsia"/>
                <w:sz w:val="21"/>
                <w:szCs w:val="21"/>
              </w:rPr>
              <w:t>因本系统自身原因导致</w:t>
            </w:r>
            <w:r>
              <w:rPr>
                <w:rFonts w:hint="eastAsia" w:asciiTheme="minorEastAsia" w:hAnsiTheme="minorEastAsia" w:eastAsiaTheme="minorEastAsia" w:cstheme="minorEastAsia"/>
                <w:sz w:val="21"/>
                <w:szCs w:val="21"/>
                <w:lang w:eastAsia="zh-TW"/>
              </w:rPr>
              <w:t>不可用时间每增加8小时，扣减5%</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故障处理超时</w:t>
            </w:r>
          </w:p>
        </w:tc>
        <w:tc>
          <w:tcPr>
            <w:tcW w:w="5000"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一级或二级故障处理超时，每发生1次，扣减2%当期维保费用</w:t>
            </w:r>
          </w:p>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缺陷处理超时</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紧急缺陷处理超时，每发生1次，扣减2%</w:t>
            </w:r>
            <w:r>
              <w:rPr>
                <w:rFonts w:hint="eastAsia" w:asciiTheme="minorEastAsia" w:hAnsiTheme="minorEastAsia" w:eastAsiaTheme="minorEastAsia" w:cstheme="minorEastAsia"/>
                <w:sz w:val="21"/>
                <w:szCs w:val="21"/>
              </w:rPr>
              <w:t>当期维保费用</w:t>
            </w:r>
          </w:p>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普通缺陷处理超时，每发生1次，扣减0.1%</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不遵守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信息系统运维工作相关规定，进行违规操作</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每发生1次，扣减1%</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工作失误</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每发生1次，扣减0.5%</w:t>
            </w:r>
            <w:r>
              <w:rPr>
                <w:rFonts w:hint="eastAsia" w:asciiTheme="minorEastAsia" w:hAnsiTheme="minorEastAsia" w:eastAsiaTheme="minorEastAsia" w:cstheme="minorEastAsia"/>
                <w:sz w:val="21"/>
                <w:szCs w:val="21"/>
              </w:rPr>
              <w:t>当期维保费用</w:t>
            </w:r>
            <w:r>
              <w:rPr>
                <w:rFonts w:hint="eastAsia" w:asciiTheme="minorEastAsia" w:hAnsiTheme="minorEastAsia" w:eastAsiaTheme="minorEastAsia" w:cstheme="minorEastAsia"/>
                <w:sz w:val="21"/>
                <w:szCs w:val="21"/>
                <w:lang w:eastAsia="zh-TW"/>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客户投诉</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如经查实确为</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lang w:eastAsia="zh-TW"/>
              </w:rPr>
              <w:t>原因造成系统客户投诉，每投诉1次，扣减0.5%</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运维周报和月报、运行记录等运维文档提交或记录不及时，不完整，不规范，不参加工作例会</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每发生1次，扣减0.5%</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rPr>
              <w:t>如要求</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技术人员驻场工作但未驻场</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每发生1次，扣减</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TW"/>
              </w:rPr>
              <w:t>%</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lang w:eastAsia="zh-TW"/>
              </w:rPr>
              <w:t>未经</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书面同意，</w:t>
            </w:r>
            <w:r>
              <w:rPr>
                <w:rFonts w:hint="eastAsia" w:asciiTheme="minorEastAsia" w:hAnsiTheme="minorEastAsia" w:eastAsiaTheme="minorEastAsia" w:cstheme="minorEastAsia"/>
                <w:sz w:val="21"/>
                <w:szCs w:val="21"/>
              </w:rPr>
              <w:t>擅自</w:t>
            </w:r>
            <w:r>
              <w:rPr>
                <w:rFonts w:hint="eastAsia" w:asciiTheme="minorEastAsia" w:hAnsiTheme="minorEastAsia" w:eastAsiaTheme="minorEastAsia" w:cstheme="minorEastAsia"/>
                <w:sz w:val="21"/>
                <w:szCs w:val="21"/>
                <w:lang w:eastAsia="zh-TW"/>
              </w:rPr>
              <w:t>更换维保服务人员</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每发生1人次，扣减</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TW"/>
              </w:rPr>
              <w:t>%</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维保服务人员不遵守</w:t>
            </w:r>
            <w:r>
              <w:rPr>
                <w:rFonts w:hint="eastAsia" w:asciiTheme="minorEastAsia" w:hAnsiTheme="minorEastAsia" w:eastAsiaTheme="minorEastAsia" w:cstheme="minorEastAsia"/>
                <w:sz w:val="21"/>
                <w:szCs w:val="21"/>
                <w:lang w:eastAsia="zh-CN"/>
              </w:rPr>
              <w:t>招标人</w:t>
            </w:r>
            <w:r>
              <w:rPr>
                <w:rFonts w:hint="eastAsia" w:asciiTheme="minorEastAsia" w:hAnsiTheme="minorEastAsia" w:eastAsiaTheme="minorEastAsia" w:cstheme="minorEastAsia"/>
                <w:sz w:val="21"/>
                <w:szCs w:val="21"/>
                <w:lang w:eastAsia="zh-TW"/>
              </w:rPr>
              <w:t>工作纪律</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每发生1人次，扣减0.1%</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在遇到紧急事件处理时，维保服务人员电话未能及时接通</w:t>
            </w:r>
          </w:p>
        </w:tc>
        <w:tc>
          <w:tcPr>
            <w:tcW w:w="5000" w:type="dxa"/>
            <w:noWrap w:val="0"/>
            <w:vAlign w:val="center"/>
          </w:tcPr>
          <w:p>
            <w:pPr>
              <w:adjustRightInd w:val="0"/>
              <w:snapToGrid w:val="0"/>
              <w:spacing w:line="240" w:lineRule="auto"/>
              <w:ind w:firstLine="0" w:firstLineChars="0"/>
              <w:jc w:val="left"/>
              <w:rPr>
                <w:rFonts w:hint="eastAsia" w:asciiTheme="minorEastAsia" w:hAnsiTheme="minorEastAsia" w:eastAsiaTheme="minorEastAsia" w:cstheme="minorEastAsia"/>
                <w:sz w:val="21"/>
                <w:szCs w:val="21"/>
                <w:lang w:eastAsia="zh-TW"/>
              </w:rPr>
            </w:pPr>
            <w:r>
              <w:rPr>
                <w:rFonts w:hint="eastAsia" w:asciiTheme="minorEastAsia" w:hAnsiTheme="minorEastAsia" w:eastAsiaTheme="minorEastAsia" w:cstheme="minorEastAsia"/>
                <w:sz w:val="21"/>
                <w:szCs w:val="21"/>
                <w:lang w:eastAsia="zh-TW"/>
              </w:rPr>
              <w:t>每发生1人次，扣减0.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TW"/>
              </w:rPr>
              <w:t>%</w:t>
            </w:r>
            <w:r>
              <w:rPr>
                <w:rFonts w:hint="eastAsia" w:asciiTheme="minorEastAsia" w:hAnsiTheme="minorEastAsia" w:eastAsiaTheme="minorEastAsia" w:cstheme="minorEastAsia"/>
                <w:sz w:val="21"/>
                <w:szCs w:val="21"/>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numPr>
                <w:ilvl w:val="0"/>
                <w:numId w:val="6"/>
              </w:numPr>
              <w:adjustRightInd w:val="0"/>
              <w:snapToGrid w:val="0"/>
              <w:spacing w:line="240" w:lineRule="auto"/>
              <w:ind w:left="0" w:firstLine="0" w:firstLineChars="0"/>
              <w:jc w:val="center"/>
              <w:rPr>
                <w:rFonts w:hint="eastAsia" w:asciiTheme="minorEastAsia" w:hAnsiTheme="minorEastAsia" w:eastAsiaTheme="minorEastAsia" w:cstheme="minorEastAsia"/>
                <w:sz w:val="21"/>
                <w:szCs w:val="21"/>
                <w:lang w:eastAsia="zh-TW"/>
              </w:rPr>
            </w:pPr>
          </w:p>
        </w:tc>
        <w:tc>
          <w:tcPr>
            <w:tcW w:w="3103"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未按</w:t>
            </w:r>
            <w:r>
              <w:rPr>
                <w:rFonts w:hint="eastAsia" w:asciiTheme="minorEastAsia" w:hAnsiTheme="minorEastAsia" w:eastAsiaTheme="minorEastAsia" w:cstheme="minorEastAsia"/>
                <w:kern w:val="0"/>
                <w:sz w:val="21"/>
                <w:szCs w:val="21"/>
                <w:lang w:eastAsia="zh-CN"/>
              </w:rPr>
              <w:t>投标人</w:t>
            </w:r>
            <w:r>
              <w:rPr>
                <w:rFonts w:hint="eastAsia" w:asciiTheme="minorEastAsia" w:hAnsiTheme="minorEastAsia" w:eastAsiaTheme="minorEastAsia" w:cstheme="minorEastAsia"/>
                <w:kern w:val="0"/>
                <w:sz w:val="21"/>
                <w:szCs w:val="21"/>
              </w:rPr>
              <w:t>要求完成对不影响系统架构的局部功能调整</w:t>
            </w:r>
          </w:p>
        </w:tc>
        <w:tc>
          <w:tcPr>
            <w:tcW w:w="5000" w:type="dxa"/>
            <w:noWrap w:val="0"/>
            <w:vAlign w:val="center"/>
          </w:tcPr>
          <w:p>
            <w:pPr>
              <w:widowControl/>
              <w:spacing w:line="440" w:lineRule="exact"/>
              <w:ind w:firstLine="0" w:firstLineChars="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每发生1次，扣减1%当期维保费用</w:t>
            </w:r>
          </w:p>
        </w:tc>
      </w:tr>
    </w:tbl>
    <w:p>
      <w:pPr>
        <w:ind w:firstLine="480"/>
      </w:pPr>
    </w:p>
    <w:p>
      <w:pPr>
        <w:spacing w:line="560" w:lineRule="exact"/>
        <w:ind w:firstLine="480" w:firstLineChars="200"/>
        <w:rPr>
          <w:rFonts w:hint="default" w:ascii="仿宋_GB2312" w:hAnsi="Calibri" w:eastAsia="仿宋_GB2312" w:cs="Times New Roman"/>
          <w:sz w:val="24"/>
          <w:szCs w:val="24"/>
          <w:lang w:val="en-US" w:eastAsia="zh-CN"/>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简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12E8"/>
    <w:multiLevelType w:val="singleLevel"/>
    <w:tmpl w:val="FFFF12E8"/>
    <w:lvl w:ilvl="0" w:tentative="0">
      <w:start w:val="1"/>
      <w:numFmt w:val="chineseCounting"/>
      <w:suff w:val="nothing"/>
      <w:lvlText w:val="%1、"/>
      <w:lvlJc w:val="left"/>
      <w:rPr>
        <w:rFonts w:hint="eastAsia"/>
      </w:rPr>
    </w:lvl>
  </w:abstractNum>
  <w:abstractNum w:abstractNumId="1">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7E6FBB"/>
    <w:multiLevelType w:val="multilevel"/>
    <w:tmpl w:val="267E6FB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B11EF2"/>
    <w:multiLevelType w:val="multilevel"/>
    <w:tmpl w:val="26B11EF2"/>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8773D3"/>
    <w:multiLevelType w:val="multilevel"/>
    <w:tmpl w:val="498773D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C8377A"/>
    <w:multiLevelType w:val="multilevel"/>
    <w:tmpl w:val="54C8377A"/>
    <w:lvl w:ilvl="0" w:tentative="0">
      <w:start w:val="1"/>
      <w:numFmt w:val="chineseCountingThousand"/>
      <w:pStyle w:val="3"/>
      <w:suff w:val="space"/>
      <w:lvlText w:val="第%1条"/>
      <w:lvlJc w:val="left"/>
      <w:pPr>
        <w:ind w:left="2112" w:hanging="432"/>
      </w:pPr>
      <w:rPr>
        <w:rFonts w:hint="eastAsia"/>
      </w:rPr>
    </w:lvl>
    <w:lvl w:ilvl="1" w:tentative="0">
      <w:start w:val="1"/>
      <w:numFmt w:val="chineseCountingThousand"/>
      <w:pStyle w:val="4"/>
      <w:isLgl/>
      <w:suff w:val="space"/>
      <w:lvlText w:val="%1.%2"/>
      <w:lvlJc w:val="left"/>
      <w:pPr>
        <w:ind w:left="1206" w:hanging="576"/>
      </w:pPr>
      <w:rPr>
        <w:rFonts w:hint="eastAsia"/>
      </w:rPr>
    </w:lvl>
    <w:lvl w:ilvl="2" w:tentative="0">
      <w:start w:val="1"/>
      <w:numFmt w:val="decimal"/>
      <w:pStyle w:val="5"/>
      <w:isLgl/>
      <w:suff w:val="space"/>
      <w:lvlText w:val="%1.%2.%3"/>
      <w:lvlJc w:val="left"/>
      <w:pPr>
        <w:ind w:left="2970" w:hanging="720"/>
      </w:pPr>
      <w:rPr>
        <w:rFonts w:hint="eastAsia"/>
      </w:rPr>
    </w:lvl>
    <w:lvl w:ilvl="3" w:tentative="0">
      <w:start w:val="1"/>
      <w:numFmt w:val="decimal"/>
      <w:isLgl/>
      <w:suff w:val="space"/>
      <w:lvlText w:val="%2.%3.%4"/>
      <w:lvlJc w:val="left"/>
      <w:pPr>
        <w:ind w:left="3537" w:hanging="864"/>
      </w:pPr>
      <w:rPr>
        <w:rFonts w:hint="eastAsia" w:cs="Times New Roman"/>
        <w:b w:val="0"/>
        <w:i w:val="0"/>
        <w:iCs w:val="0"/>
        <w:caps w:val="0"/>
        <w:smallCaps w:val="0"/>
        <w:strike w:val="0"/>
        <w:dstrike w:val="0"/>
        <w:vanish w:val="0"/>
        <w:spacing w:val="0"/>
        <w:position w:val="0"/>
        <w:u w:val="none"/>
        <w:vertAlign w:val="baseline"/>
      </w:rPr>
    </w:lvl>
    <w:lvl w:ilvl="4" w:tentative="0">
      <w:start w:val="1"/>
      <w:numFmt w:val="decimal"/>
      <w:lvlText w:val="%1.%2.%3.%4.%5"/>
      <w:lvlJc w:val="left"/>
      <w:pPr>
        <w:ind w:left="2688" w:hanging="1008"/>
      </w:pPr>
      <w:rPr>
        <w:rFonts w:hint="eastAsia"/>
      </w:rPr>
    </w:lvl>
    <w:lvl w:ilvl="5" w:tentative="0">
      <w:start w:val="1"/>
      <w:numFmt w:val="decimal"/>
      <w:lvlText w:val="%1.%2.%3.%4.%5.%6"/>
      <w:lvlJc w:val="left"/>
      <w:pPr>
        <w:ind w:left="2832" w:hanging="1152"/>
      </w:pPr>
      <w:rPr>
        <w:rFonts w:hint="eastAsia"/>
      </w:rPr>
    </w:lvl>
    <w:lvl w:ilvl="6" w:tentative="0">
      <w:start w:val="1"/>
      <w:numFmt w:val="decimal"/>
      <w:lvlText w:val="%1.%2.%3.%4.%5.%6.%7"/>
      <w:lvlJc w:val="left"/>
      <w:pPr>
        <w:ind w:left="2976" w:hanging="1296"/>
      </w:pPr>
      <w:rPr>
        <w:rFonts w:hint="eastAsia"/>
      </w:rPr>
    </w:lvl>
    <w:lvl w:ilvl="7" w:tentative="0">
      <w:start w:val="1"/>
      <w:numFmt w:val="decimal"/>
      <w:lvlText w:val="%1.%2.%3.%4.%5.%6.%7.%8"/>
      <w:lvlJc w:val="left"/>
      <w:pPr>
        <w:ind w:left="3120" w:hanging="1440"/>
      </w:pPr>
      <w:rPr>
        <w:rFonts w:hint="eastAsia"/>
      </w:rPr>
    </w:lvl>
    <w:lvl w:ilvl="8" w:tentative="0">
      <w:start w:val="1"/>
      <w:numFmt w:val="decimal"/>
      <w:lvlText w:val="%1.%2.%3.%4.%5.%6.%7.%8.%9"/>
      <w:lvlJc w:val="left"/>
      <w:pPr>
        <w:ind w:left="3264" w:hanging="1584"/>
      </w:pPr>
      <w:rPr>
        <w:rFonts w:hint="eastAsia"/>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E40AA"/>
    <w:rsid w:val="01D35257"/>
    <w:rsid w:val="02AD58B6"/>
    <w:rsid w:val="032436E0"/>
    <w:rsid w:val="04D10B79"/>
    <w:rsid w:val="057834E2"/>
    <w:rsid w:val="0900328A"/>
    <w:rsid w:val="0AFC1F3D"/>
    <w:rsid w:val="0B6811A9"/>
    <w:rsid w:val="0E313BE2"/>
    <w:rsid w:val="11DF6871"/>
    <w:rsid w:val="152A7575"/>
    <w:rsid w:val="167965AA"/>
    <w:rsid w:val="19A5390B"/>
    <w:rsid w:val="1CA10506"/>
    <w:rsid w:val="1DAB6C73"/>
    <w:rsid w:val="1DD20021"/>
    <w:rsid w:val="1E6C280A"/>
    <w:rsid w:val="1EDDEF69"/>
    <w:rsid w:val="1F9057AC"/>
    <w:rsid w:val="1FBB1B2B"/>
    <w:rsid w:val="25986AB4"/>
    <w:rsid w:val="2C663FFB"/>
    <w:rsid w:val="30B21119"/>
    <w:rsid w:val="312F1A7B"/>
    <w:rsid w:val="350C4A1D"/>
    <w:rsid w:val="377101F1"/>
    <w:rsid w:val="3B1E4EAB"/>
    <w:rsid w:val="3FAB2132"/>
    <w:rsid w:val="47F703C9"/>
    <w:rsid w:val="486C4969"/>
    <w:rsid w:val="4F3D48D1"/>
    <w:rsid w:val="4FC31B93"/>
    <w:rsid w:val="546E76B9"/>
    <w:rsid w:val="562B3275"/>
    <w:rsid w:val="5B7128E8"/>
    <w:rsid w:val="5F51298D"/>
    <w:rsid w:val="615341A3"/>
    <w:rsid w:val="62520513"/>
    <w:rsid w:val="6C267D23"/>
    <w:rsid w:val="71987CA4"/>
    <w:rsid w:val="723E72BB"/>
    <w:rsid w:val="7356520C"/>
    <w:rsid w:val="7401203F"/>
    <w:rsid w:val="7C4330EA"/>
    <w:rsid w:val="7D4806F8"/>
    <w:rsid w:val="7EAE33E6"/>
    <w:rsid w:val="7F7BCC0A"/>
    <w:rsid w:val="EF5F5BE6"/>
    <w:rsid w:val="FDFB58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9"/>
    <w:pPr>
      <w:numPr>
        <w:ilvl w:val="0"/>
        <w:numId w:val="1"/>
      </w:numPr>
      <w:spacing w:line="360" w:lineRule="auto"/>
      <w:ind w:left="0" w:firstLine="480" w:firstLineChars="200"/>
      <w:jc w:val="both"/>
      <w:outlineLvl w:val="0"/>
    </w:pPr>
    <w:rPr>
      <w:rFonts w:ascii="宋体" w:hAnsi="宋体" w:eastAsia="黑体" w:cs="Times New Roman"/>
      <w:bCs/>
      <w:kern w:val="44"/>
      <w:sz w:val="24"/>
      <w:szCs w:val="32"/>
      <w:lang w:bidi="ar-SA"/>
    </w:rPr>
  </w:style>
  <w:style w:type="paragraph" w:styleId="4">
    <w:name w:val="heading 2"/>
    <w:next w:val="1"/>
    <w:link w:val="11"/>
    <w:qFormat/>
    <w:uiPriority w:val="9"/>
    <w:pPr>
      <w:numPr>
        <w:ilvl w:val="1"/>
        <w:numId w:val="1"/>
      </w:numPr>
      <w:spacing w:line="360" w:lineRule="auto"/>
      <w:ind w:left="0" w:firstLine="200" w:firstLineChars="200"/>
      <w:outlineLvl w:val="1"/>
    </w:pPr>
    <w:rPr>
      <w:rFonts w:ascii="宋体" w:hAnsi="宋体" w:eastAsia="宋体" w:cs="Times New Roman"/>
      <w:bCs/>
      <w:kern w:val="2"/>
      <w:sz w:val="24"/>
      <w:szCs w:val="30"/>
      <w:lang w:bidi="ar-SA"/>
    </w:rPr>
  </w:style>
  <w:style w:type="paragraph" w:styleId="5">
    <w:name w:val="heading 3"/>
    <w:next w:val="1"/>
    <w:qFormat/>
    <w:uiPriority w:val="99"/>
    <w:pPr>
      <w:numPr>
        <w:ilvl w:val="2"/>
        <w:numId w:val="1"/>
      </w:numPr>
      <w:spacing w:line="360" w:lineRule="auto"/>
      <w:outlineLvl w:val="2"/>
    </w:pPr>
    <w:rPr>
      <w:rFonts w:ascii="宋体" w:hAnsi="宋体" w:eastAsia="宋体" w:cs="Times New Roman"/>
      <w:bCs/>
      <w:kern w:val="2"/>
      <w:sz w:val="24"/>
      <w:szCs w:val="28"/>
      <w:lang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widowControl w:val="0"/>
      <w:spacing w:line="360" w:lineRule="auto"/>
      <w:ind w:left="420" w:leftChars="200"/>
      <w:jc w:val="both"/>
    </w:pPr>
    <w:rPr>
      <w:rFonts w:ascii="Calibri" w:hAnsi="Calibri"/>
      <w:b/>
      <w:kern w:val="2"/>
      <w:sz w:val="28"/>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PwC Normal"/>
    <w:basedOn w:val="1"/>
    <w:qFormat/>
    <w:uiPriority w:val="99"/>
    <w:pPr>
      <w:spacing w:before="180" w:after="180" w:line="240" w:lineRule="atLeast"/>
    </w:pPr>
  </w:style>
  <w:style w:type="character" w:customStyle="1" w:styleId="11">
    <w:name w:val="标题 2 Char"/>
    <w:link w:val="4"/>
    <w:qFormat/>
    <w:uiPriority w:val="9"/>
    <w:rPr>
      <w:rFonts w:ascii="宋体" w:hAnsi="宋体" w:eastAsia="宋体" w:cs="Times New Roman"/>
      <w:bCs/>
      <w:kern w:val="2"/>
      <w:sz w:val="24"/>
      <w:szCs w:val="30"/>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Office_11.8.2.11764_F1E327BC-269C-435d-A152-05C5408002CA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2023-10-26T05:45:00Z</dcterms:created>
  <dc:creator>zoroone</dc:creator>
  <cp:lastModifiedBy>gzrc</cp:lastModifiedBy>
  <cp:lastPrinted>2024-03-06T14:04:45Z</cp:lastPrinted>
  <dcterms:modified xsi:type="dcterms:W3CDTF">2024-03-06T14:07:15Z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CC2BFDD1AF2BEB6CE807E8656C92E1A3</vt:lpwstr>
  </property>
</Properties>
</file>