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观山湖数据中心关键基础设施系统（应急供电）维保服务要求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）项目名称：</w:t>
      </w:r>
      <w:r>
        <w:rPr>
          <w:rFonts w:hint="eastAsia" w:ascii="仿宋_GB2312" w:hAnsi="仿宋_GB2312" w:eastAsia="仿宋_GB2312" w:cs="仿宋_GB2312"/>
          <w:sz w:val="32"/>
          <w:szCs w:val="32"/>
          <w:lang w:val="en-US" w:eastAsia="zh-CN"/>
        </w:rPr>
        <w:t>观山湖数据中心关键基础设施维保服务（应急供电）</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项目范围：</w:t>
      </w:r>
      <w:r>
        <w:rPr>
          <w:rFonts w:hint="eastAsia" w:ascii="仿宋_GB2312" w:hAnsi="仿宋_GB2312" w:eastAsia="仿宋_GB2312" w:cs="仿宋_GB2312"/>
          <w:sz w:val="32"/>
          <w:szCs w:val="32"/>
          <w:lang w:val="en-US" w:eastAsia="zh-CN"/>
        </w:rPr>
        <w:t>本维保项目包含2台常用功率2000KW的柴油发电机组，及其配套的启动电池、高压配电柜、低压配电柜、直流屏控制柜、控制系统、日用油箱、烟气处理系统、进排风系统等附属设施，相关设备信息清单见表一。</w:t>
      </w:r>
    </w:p>
    <w:p>
      <w:pPr>
        <w:numPr>
          <w:ilvl w:val="0"/>
          <w:numId w:val="0"/>
        </w:numPr>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表一</w:t>
      </w:r>
    </w:p>
    <w:tbl>
      <w:tblPr>
        <w:tblStyle w:val="15"/>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15"/>
        <w:gridCol w:w="1063"/>
        <w:gridCol w:w="1742"/>
        <w:gridCol w:w="2420"/>
        <w:gridCol w:w="1098"/>
        <w:gridCol w:w="683"/>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6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firstLine="0" w:firstLineChars="0"/>
              <w:jc w:val="center"/>
              <w:textAlignment w:val="center"/>
              <w:rPr>
                <w:rFonts w:hint="eastAsia" w:ascii="宋体" w:hAnsi="宋体" w:eastAsia="宋体" w:cs="宋体"/>
                <w:b/>
                <w:bCs/>
                <w:i w:val="0"/>
                <w:color w:val="000000"/>
                <w:sz w:val="15"/>
                <w:szCs w:val="15"/>
                <w:highlight w:val="none"/>
                <w:u w:val="none"/>
              </w:rPr>
            </w:pPr>
            <w:r>
              <w:rPr>
                <w:rFonts w:hint="eastAsia" w:ascii="宋体" w:hAnsi="宋体" w:eastAsia="宋体" w:cs="宋体"/>
                <w:b/>
                <w:bCs/>
                <w:i w:val="0"/>
                <w:color w:val="000000"/>
                <w:sz w:val="15"/>
                <w:szCs w:val="15"/>
                <w:highlight w:val="none"/>
                <w:u w:val="none"/>
                <w:lang w:val="en-US" w:eastAsia="zh-CN"/>
              </w:rPr>
              <w:t>序号</w:t>
            </w:r>
          </w:p>
        </w:tc>
        <w:tc>
          <w:tcPr>
            <w:tcW w:w="106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firstLine="0" w:firstLineChars="0"/>
              <w:jc w:val="center"/>
              <w:textAlignment w:val="center"/>
              <w:rPr>
                <w:rFonts w:hint="eastAsia" w:ascii="宋体" w:hAnsi="宋体" w:eastAsia="宋体" w:cs="宋体"/>
                <w:b/>
                <w:bCs/>
                <w:i w:val="0"/>
                <w:color w:val="000000"/>
                <w:sz w:val="15"/>
                <w:szCs w:val="15"/>
                <w:highlight w:val="none"/>
                <w:u w:val="none"/>
                <w:lang w:val="en-US" w:eastAsia="zh-CN"/>
              </w:rPr>
            </w:pPr>
            <w:r>
              <w:rPr>
                <w:rFonts w:hint="eastAsia" w:ascii="宋体" w:hAnsi="宋体" w:eastAsia="宋体" w:cs="宋体"/>
                <w:b/>
                <w:bCs/>
                <w:i w:val="0"/>
                <w:color w:val="000000"/>
                <w:sz w:val="15"/>
                <w:szCs w:val="15"/>
                <w:highlight w:val="none"/>
                <w:u w:val="none"/>
                <w:lang w:val="en-US" w:eastAsia="zh-CN"/>
              </w:rPr>
              <w:t>设备类型</w:t>
            </w:r>
          </w:p>
        </w:tc>
        <w:tc>
          <w:tcPr>
            <w:tcW w:w="174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firstLine="0" w:firstLineChars="0"/>
              <w:jc w:val="center"/>
              <w:textAlignment w:val="center"/>
              <w:rPr>
                <w:rFonts w:hint="eastAsia" w:ascii="宋体" w:hAnsi="宋体" w:eastAsia="宋体" w:cs="宋体"/>
                <w:b/>
                <w:bCs/>
                <w:i w:val="0"/>
                <w:color w:val="000000"/>
                <w:sz w:val="15"/>
                <w:szCs w:val="15"/>
                <w:highlight w:val="none"/>
                <w:u w:val="none"/>
              </w:rPr>
            </w:pPr>
            <w:r>
              <w:rPr>
                <w:rFonts w:hint="eastAsia" w:ascii="宋体" w:hAnsi="宋体" w:eastAsia="宋体" w:cs="宋体"/>
                <w:b/>
                <w:bCs/>
                <w:i w:val="0"/>
                <w:color w:val="000000"/>
                <w:sz w:val="15"/>
                <w:szCs w:val="15"/>
                <w:highlight w:val="none"/>
                <w:u w:val="none"/>
                <w:lang w:val="en-US" w:eastAsia="zh-CN"/>
              </w:rPr>
              <w:t>设备名称</w:t>
            </w:r>
          </w:p>
        </w:tc>
        <w:tc>
          <w:tcPr>
            <w:tcW w:w="242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firstLine="0" w:firstLineChars="0"/>
              <w:jc w:val="center"/>
              <w:textAlignment w:val="center"/>
              <w:rPr>
                <w:rFonts w:hint="eastAsia" w:ascii="宋体" w:hAnsi="宋体" w:eastAsia="宋体" w:cs="宋体"/>
                <w:b/>
                <w:bCs/>
                <w:i w:val="0"/>
                <w:color w:val="000000"/>
                <w:sz w:val="15"/>
                <w:szCs w:val="15"/>
                <w:highlight w:val="none"/>
                <w:u w:val="none"/>
              </w:rPr>
            </w:pPr>
            <w:r>
              <w:rPr>
                <w:rFonts w:hint="eastAsia" w:ascii="宋体" w:hAnsi="宋体" w:eastAsia="宋体" w:cs="宋体"/>
                <w:b/>
                <w:bCs/>
                <w:i w:val="0"/>
                <w:color w:val="000000"/>
                <w:sz w:val="15"/>
                <w:szCs w:val="15"/>
                <w:highlight w:val="none"/>
                <w:u w:val="none"/>
                <w:lang w:val="en-US" w:eastAsia="zh-CN"/>
              </w:rPr>
              <w:t>型号</w:t>
            </w:r>
          </w:p>
        </w:tc>
        <w:tc>
          <w:tcPr>
            <w:tcW w:w="109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firstLine="0" w:firstLineChars="0"/>
              <w:jc w:val="center"/>
              <w:textAlignment w:val="center"/>
              <w:rPr>
                <w:rFonts w:hint="eastAsia" w:ascii="宋体" w:hAnsi="宋体" w:eastAsia="宋体" w:cs="宋体"/>
                <w:b/>
                <w:bCs/>
                <w:i w:val="0"/>
                <w:color w:val="000000"/>
                <w:sz w:val="15"/>
                <w:szCs w:val="15"/>
                <w:highlight w:val="none"/>
                <w:u w:val="none"/>
              </w:rPr>
            </w:pPr>
            <w:r>
              <w:rPr>
                <w:rFonts w:hint="eastAsia" w:ascii="宋体" w:hAnsi="宋体" w:eastAsia="宋体" w:cs="宋体"/>
                <w:b/>
                <w:bCs/>
                <w:i w:val="0"/>
                <w:color w:val="000000"/>
                <w:sz w:val="15"/>
                <w:szCs w:val="15"/>
                <w:highlight w:val="none"/>
                <w:u w:val="none"/>
                <w:lang w:val="en-US" w:eastAsia="zh-CN"/>
              </w:rPr>
              <w:t>技术参数</w:t>
            </w:r>
          </w:p>
        </w:tc>
        <w:tc>
          <w:tcPr>
            <w:tcW w:w="68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firstLine="0" w:firstLineChars="0"/>
              <w:jc w:val="center"/>
              <w:textAlignment w:val="center"/>
              <w:rPr>
                <w:rFonts w:hint="eastAsia" w:ascii="宋体" w:hAnsi="宋体" w:eastAsia="宋体" w:cs="宋体"/>
                <w:b/>
                <w:bCs/>
                <w:i w:val="0"/>
                <w:color w:val="000000"/>
                <w:sz w:val="15"/>
                <w:szCs w:val="15"/>
                <w:highlight w:val="none"/>
                <w:u w:val="none"/>
              </w:rPr>
            </w:pPr>
            <w:r>
              <w:rPr>
                <w:rFonts w:hint="eastAsia" w:ascii="宋体" w:hAnsi="宋体" w:eastAsia="宋体" w:cs="宋体"/>
                <w:b/>
                <w:bCs/>
                <w:i w:val="0"/>
                <w:color w:val="000000"/>
                <w:sz w:val="15"/>
                <w:szCs w:val="15"/>
                <w:highlight w:val="none"/>
                <w:u w:val="none"/>
                <w:lang w:val="en-US" w:eastAsia="zh-CN"/>
              </w:rPr>
              <w:t>数量</w:t>
            </w:r>
          </w:p>
        </w:tc>
        <w:tc>
          <w:tcPr>
            <w:tcW w:w="15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firstLine="0" w:firstLineChars="0"/>
              <w:jc w:val="center"/>
              <w:textAlignment w:val="center"/>
              <w:rPr>
                <w:rFonts w:hint="eastAsia" w:ascii="宋体" w:hAnsi="宋体" w:eastAsia="宋体" w:cs="宋体"/>
                <w:b/>
                <w:bCs/>
                <w:i w:val="0"/>
                <w:color w:val="000000"/>
                <w:sz w:val="15"/>
                <w:szCs w:val="15"/>
                <w:highlight w:val="none"/>
                <w:u w:val="none"/>
                <w:lang w:val="en-US" w:eastAsia="zh-CN"/>
              </w:rPr>
            </w:pPr>
            <w:r>
              <w:rPr>
                <w:rFonts w:hint="eastAsia" w:ascii="宋体" w:hAnsi="宋体" w:eastAsia="宋体" w:cs="宋体"/>
                <w:b/>
                <w:bCs/>
                <w:i w:val="0"/>
                <w:color w:val="000000"/>
                <w:sz w:val="15"/>
                <w:szCs w:val="15"/>
                <w:highlight w:val="none"/>
                <w:u w:val="none"/>
                <w:lang w:val="en-US"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2" w:hRule="atLeast"/>
          <w:jc w:val="center"/>
        </w:trPr>
        <w:tc>
          <w:tcPr>
            <w:tcW w:w="6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1</w:t>
            </w:r>
          </w:p>
        </w:tc>
        <w:tc>
          <w:tcPr>
            <w:tcW w:w="10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发电机</w:t>
            </w:r>
          </w:p>
        </w:tc>
        <w:tc>
          <w:tcPr>
            <w:tcW w:w="17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发电机组</w:t>
            </w:r>
          </w:p>
        </w:tc>
        <w:tc>
          <w:tcPr>
            <w:tcW w:w="2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康明斯C2750D5B</w:t>
            </w:r>
          </w:p>
        </w:tc>
        <w:tc>
          <w:tcPr>
            <w:tcW w:w="10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2000kW</w:t>
            </w:r>
          </w:p>
        </w:tc>
        <w:tc>
          <w:tcPr>
            <w:tcW w:w="6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cs="宋体"/>
                <w:b w:val="0"/>
                <w:bCs w:val="0"/>
                <w:i w:val="0"/>
                <w:iCs w:val="0"/>
                <w:color w:val="000000"/>
                <w:kern w:val="0"/>
                <w:sz w:val="15"/>
                <w:szCs w:val="15"/>
                <w:u w:val="none"/>
                <w:lang w:val="en-US" w:eastAsia="zh-CN" w:bidi="ar"/>
              </w:rPr>
              <w:t>2</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二层发电机房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cs="宋体"/>
                <w:b w:val="0"/>
                <w:bCs w:val="0"/>
                <w:i w:val="0"/>
                <w:iCs w:val="0"/>
                <w:color w:val="000000"/>
                <w:kern w:val="0"/>
                <w:sz w:val="15"/>
                <w:szCs w:val="15"/>
                <w:u w:val="none"/>
                <w:lang w:val="en-US" w:eastAsia="zh-CN" w:bidi="ar"/>
              </w:rPr>
              <w:t>2</w:t>
            </w:r>
          </w:p>
        </w:tc>
        <w:tc>
          <w:tcPr>
            <w:tcW w:w="10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启动电池</w:t>
            </w:r>
          </w:p>
        </w:tc>
        <w:tc>
          <w:tcPr>
            <w:tcW w:w="17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电池</w:t>
            </w:r>
          </w:p>
        </w:tc>
        <w:tc>
          <w:tcPr>
            <w:tcW w:w="2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w:t>
            </w:r>
          </w:p>
        </w:tc>
        <w:tc>
          <w:tcPr>
            <w:tcW w:w="10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12V/200AH</w:t>
            </w:r>
          </w:p>
        </w:tc>
        <w:tc>
          <w:tcPr>
            <w:tcW w:w="6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16</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二层发电机房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cs="宋体"/>
                <w:b w:val="0"/>
                <w:bCs w:val="0"/>
                <w:i w:val="0"/>
                <w:iCs w:val="0"/>
                <w:color w:val="000000"/>
                <w:kern w:val="0"/>
                <w:sz w:val="15"/>
                <w:szCs w:val="15"/>
                <w:u w:val="none"/>
                <w:lang w:val="en-US" w:eastAsia="zh-CN" w:bidi="ar"/>
              </w:rPr>
              <w:t>3</w:t>
            </w:r>
          </w:p>
        </w:tc>
        <w:tc>
          <w:tcPr>
            <w:tcW w:w="106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高压柜</w:t>
            </w:r>
          </w:p>
        </w:tc>
        <w:tc>
          <w:tcPr>
            <w:tcW w:w="17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.进线柜</w:t>
            </w:r>
          </w:p>
        </w:tc>
        <w:tc>
          <w:tcPr>
            <w:tcW w:w="2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w:t>
            </w:r>
          </w:p>
        </w:tc>
        <w:tc>
          <w:tcPr>
            <w:tcW w:w="10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12kV</w:t>
            </w:r>
          </w:p>
        </w:tc>
        <w:tc>
          <w:tcPr>
            <w:tcW w:w="6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b w:val="0"/>
                <w:bCs w:val="0"/>
                <w:i w:val="0"/>
                <w:iCs w:val="0"/>
                <w:color w:val="000000"/>
                <w:kern w:val="0"/>
                <w:sz w:val="15"/>
                <w:szCs w:val="15"/>
                <w:u w:val="none"/>
                <w:lang w:val="en-US" w:eastAsia="zh-CN" w:bidi="ar"/>
              </w:rPr>
            </w:pPr>
            <w:r>
              <w:rPr>
                <w:rFonts w:hint="eastAsia" w:ascii="宋体" w:hAnsi="宋体" w:cs="宋体"/>
                <w:b w:val="0"/>
                <w:bCs w:val="0"/>
                <w:i w:val="0"/>
                <w:iCs w:val="0"/>
                <w:color w:val="000000"/>
                <w:kern w:val="0"/>
                <w:sz w:val="15"/>
                <w:szCs w:val="15"/>
                <w:u w:val="none"/>
                <w:lang w:val="en-US" w:eastAsia="zh-CN" w:bidi="ar"/>
              </w:rPr>
              <w:t>2</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二层发电机房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cs="宋体"/>
                <w:b w:val="0"/>
                <w:bCs w:val="0"/>
                <w:i w:val="0"/>
                <w:iCs w:val="0"/>
                <w:color w:val="000000"/>
                <w:kern w:val="0"/>
                <w:sz w:val="15"/>
                <w:szCs w:val="15"/>
                <w:u w:val="none"/>
                <w:lang w:val="en-US" w:eastAsia="zh-CN" w:bidi="ar"/>
              </w:rPr>
              <w:t>4</w:t>
            </w:r>
          </w:p>
        </w:tc>
        <w:tc>
          <w:tcPr>
            <w:tcW w:w="10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7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出线柜</w:t>
            </w:r>
          </w:p>
        </w:tc>
        <w:tc>
          <w:tcPr>
            <w:tcW w:w="2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w:t>
            </w:r>
          </w:p>
        </w:tc>
        <w:tc>
          <w:tcPr>
            <w:tcW w:w="10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12kV</w:t>
            </w:r>
          </w:p>
        </w:tc>
        <w:tc>
          <w:tcPr>
            <w:tcW w:w="6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b w:val="0"/>
                <w:bCs w:val="0"/>
                <w:i w:val="0"/>
                <w:iCs w:val="0"/>
                <w:color w:val="000000"/>
                <w:kern w:val="0"/>
                <w:sz w:val="15"/>
                <w:szCs w:val="15"/>
                <w:u w:val="none"/>
                <w:lang w:val="en-US" w:eastAsia="zh-CN" w:bidi="ar"/>
              </w:rPr>
            </w:pPr>
            <w:r>
              <w:rPr>
                <w:rFonts w:hint="eastAsia" w:ascii="宋体" w:hAnsi="宋体" w:cs="宋体"/>
                <w:b w:val="0"/>
                <w:bCs w:val="0"/>
                <w:i w:val="0"/>
                <w:iCs w:val="0"/>
                <w:color w:val="000000"/>
                <w:kern w:val="0"/>
                <w:sz w:val="15"/>
                <w:szCs w:val="15"/>
                <w:u w:val="none"/>
                <w:lang w:val="en-US" w:eastAsia="zh-CN" w:bidi="ar"/>
              </w:rPr>
              <w:t>4</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二层发电机房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cs="宋体"/>
                <w:b w:val="0"/>
                <w:bCs w:val="0"/>
                <w:i w:val="0"/>
                <w:iCs w:val="0"/>
                <w:color w:val="000000"/>
                <w:kern w:val="0"/>
                <w:sz w:val="15"/>
                <w:szCs w:val="15"/>
                <w:u w:val="none"/>
                <w:lang w:val="en-US" w:eastAsia="zh-CN" w:bidi="ar"/>
              </w:rPr>
              <w:t>5</w:t>
            </w:r>
          </w:p>
        </w:tc>
        <w:tc>
          <w:tcPr>
            <w:tcW w:w="10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7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接地电阻柜</w:t>
            </w:r>
          </w:p>
        </w:tc>
        <w:tc>
          <w:tcPr>
            <w:tcW w:w="2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w:t>
            </w:r>
          </w:p>
        </w:tc>
        <w:tc>
          <w:tcPr>
            <w:tcW w:w="10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12kV</w:t>
            </w:r>
          </w:p>
        </w:tc>
        <w:tc>
          <w:tcPr>
            <w:tcW w:w="6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cs="宋体"/>
                <w:b w:val="0"/>
                <w:bCs w:val="0"/>
                <w:i w:val="0"/>
                <w:iCs w:val="0"/>
                <w:color w:val="000000"/>
                <w:kern w:val="0"/>
                <w:sz w:val="15"/>
                <w:szCs w:val="15"/>
                <w:u w:val="none"/>
                <w:lang w:val="en-US" w:eastAsia="zh-CN" w:bidi="ar"/>
              </w:rPr>
              <w:t>2</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二层发电机房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cs="宋体"/>
                <w:b w:val="0"/>
                <w:bCs w:val="0"/>
                <w:i w:val="0"/>
                <w:iCs w:val="0"/>
                <w:color w:val="000000"/>
                <w:kern w:val="0"/>
                <w:sz w:val="15"/>
                <w:szCs w:val="15"/>
                <w:u w:val="none"/>
                <w:lang w:val="en-US" w:eastAsia="zh-CN" w:bidi="ar"/>
              </w:rPr>
              <w:t>6</w:t>
            </w:r>
          </w:p>
        </w:tc>
        <w:tc>
          <w:tcPr>
            <w:tcW w:w="10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7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差动保护柜</w:t>
            </w:r>
          </w:p>
        </w:tc>
        <w:tc>
          <w:tcPr>
            <w:tcW w:w="2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w:t>
            </w:r>
          </w:p>
        </w:tc>
        <w:tc>
          <w:tcPr>
            <w:tcW w:w="10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12kV</w:t>
            </w:r>
          </w:p>
        </w:tc>
        <w:tc>
          <w:tcPr>
            <w:tcW w:w="6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1</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二层发电机房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cs="宋体"/>
                <w:b w:val="0"/>
                <w:bCs w:val="0"/>
                <w:i w:val="0"/>
                <w:iCs w:val="0"/>
                <w:color w:val="000000"/>
                <w:kern w:val="0"/>
                <w:sz w:val="15"/>
                <w:szCs w:val="15"/>
                <w:u w:val="none"/>
                <w:lang w:val="en-US" w:eastAsia="zh-CN" w:bidi="ar"/>
              </w:rPr>
              <w:t>7</w:t>
            </w:r>
          </w:p>
        </w:tc>
        <w:tc>
          <w:tcPr>
            <w:tcW w:w="106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低压柜</w:t>
            </w:r>
          </w:p>
        </w:tc>
        <w:tc>
          <w:tcPr>
            <w:tcW w:w="17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风机控制柜</w:t>
            </w:r>
          </w:p>
        </w:tc>
        <w:tc>
          <w:tcPr>
            <w:tcW w:w="2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w:t>
            </w:r>
          </w:p>
        </w:tc>
        <w:tc>
          <w:tcPr>
            <w:tcW w:w="10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400V</w:t>
            </w:r>
          </w:p>
        </w:tc>
        <w:tc>
          <w:tcPr>
            <w:tcW w:w="6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1</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二层发电机房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cs="宋体"/>
                <w:b w:val="0"/>
                <w:bCs w:val="0"/>
                <w:i w:val="0"/>
                <w:iCs w:val="0"/>
                <w:color w:val="000000"/>
                <w:kern w:val="0"/>
                <w:sz w:val="15"/>
                <w:szCs w:val="15"/>
                <w:u w:val="none"/>
                <w:lang w:val="en-US" w:eastAsia="zh-CN" w:bidi="ar"/>
              </w:rPr>
              <w:t>8</w:t>
            </w:r>
          </w:p>
        </w:tc>
        <w:tc>
          <w:tcPr>
            <w:tcW w:w="10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7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油箱控制柜</w:t>
            </w:r>
          </w:p>
        </w:tc>
        <w:tc>
          <w:tcPr>
            <w:tcW w:w="2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w:t>
            </w:r>
          </w:p>
        </w:tc>
        <w:tc>
          <w:tcPr>
            <w:tcW w:w="10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400V</w:t>
            </w:r>
          </w:p>
        </w:tc>
        <w:tc>
          <w:tcPr>
            <w:tcW w:w="6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1</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二层发电机房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cs="宋体"/>
                <w:b w:val="0"/>
                <w:bCs w:val="0"/>
                <w:i w:val="0"/>
                <w:iCs w:val="0"/>
                <w:color w:val="000000"/>
                <w:kern w:val="0"/>
                <w:sz w:val="15"/>
                <w:szCs w:val="15"/>
                <w:u w:val="none"/>
                <w:lang w:val="en-US" w:eastAsia="zh-CN" w:bidi="ar"/>
              </w:rPr>
              <w:t>9</w:t>
            </w:r>
          </w:p>
        </w:tc>
        <w:tc>
          <w:tcPr>
            <w:tcW w:w="10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7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净化系统配电柜</w:t>
            </w:r>
          </w:p>
        </w:tc>
        <w:tc>
          <w:tcPr>
            <w:tcW w:w="2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w:t>
            </w:r>
          </w:p>
        </w:tc>
        <w:tc>
          <w:tcPr>
            <w:tcW w:w="10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400V</w:t>
            </w:r>
          </w:p>
        </w:tc>
        <w:tc>
          <w:tcPr>
            <w:tcW w:w="6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1</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二层发电机房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b w:val="0"/>
                <w:bCs w:val="0"/>
                <w:i w:val="0"/>
                <w:iCs w:val="0"/>
                <w:color w:val="000000"/>
                <w:kern w:val="0"/>
                <w:sz w:val="15"/>
                <w:szCs w:val="15"/>
                <w:u w:val="none"/>
                <w:lang w:val="en-US" w:eastAsia="zh-CN" w:bidi="ar"/>
              </w:rPr>
            </w:pPr>
            <w:r>
              <w:rPr>
                <w:rFonts w:hint="eastAsia" w:ascii="宋体" w:hAnsi="宋体" w:cs="宋体"/>
                <w:b w:val="0"/>
                <w:bCs w:val="0"/>
                <w:i w:val="0"/>
                <w:iCs w:val="0"/>
                <w:color w:val="000000"/>
                <w:kern w:val="0"/>
                <w:sz w:val="15"/>
                <w:szCs w:val="15"/>
                <w:u w:val="none"/>
                <w:lang w:val="en-US" w:eastAsia="zh-CN" w:bidi="ar"/>
              </w:rPr>
              <w:t>10</w:t>
            </w:r>
          </w:p>
        </w:tc>
        <w:tc>
          <w:tcPr>
            <w:tcW w:w="10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7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柴发并联主控柜</w:t>
            </w:r>
          </w:p>
        </w:tc>
        <w:tc>
          <w:tcPr>
            <w:tcW w:w="2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w:t>
            </w:r>
          </w:p>
        </w:tc>
        <w:tc>
          <w:tcPr>
            <w:tcW w:w="10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400V</w:t>
            </w:r>
          </w:p>
        </w:tc>
        <w:tc>
          <w:tcPr>
            <w:tcW w:w="6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cs="宋体"/>
                <w:b w:val="0"/>
                <w:bCs w:val="0"/>
                <w:i w:val="0"/>
                <w:iCs w:val="0"/>
                <w:color w:val="000000"/>
                <w:kern w:val="0"/>
                <w:sz w:val="15"/>
                <w:szCs w:val="15"/>
                <w:u w:val="none"/>
                <w:lang w:val="en-US" w:eastAsia="zh-CN" w:bidi="ar"/>
              </w:rPr>
              <w:t>2</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二层发电机房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b w:val="0"/>
                <w:bCs w:val="0"/>
                <w:i w:val="0"/>
                <w:iCs w:val="0"/>
                <w:color w:val="000000"/>
                <w:kern w:val="0"/>
                <w:sz w:val="15"/>
                <w:szCs w:val="15"/>
                <w:u w:val="none"/>
                <w:lang w:val="en-US" w:eastAsia="zh-CN" w:bidi="ar"/>
              </w:rPr>
            </w:pPr>
            <w:r>
              <w:rPr>
                <w:rFonts w:hint="eastAsia" w:ascii="宋体" w:hAnsi="宋体" w:cs="宋体"/>
                <w:b w:val="0"/>
                <w:bCs w:val="0"/>
                <w:i w:val="0"/>
                <w:iCs w:val="0"/>
                <w:color w:val="000000"/>
                <w:kern w:val="0"/>
                <w:sz w:val="15"/>
                <w:szCs w:val="15"/>
                <w:u w:val="none"/>
                <w:lang w:val="en-US" w:eastAsia="zh-CN" w:bidi="ar"/>
              </w:rPr>
              <w:t>11</w:t>
            </w:r>
          </w:p>
        </w:tc>
        <w:tc>
          <w:tcPr>
            <w:tcW w:w="106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直流控制柜</w:t>
            </w:r>
          </w:p>
        </w:tc>
        <w:tc>
          <w:tcPr>
            <w:tcW w:w="17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直流屏</w:t>
            </w:r>
          </w:p>
        </w:tc>
        <w:tc>
          <w:tcPr>
            <w:tcW w:w="2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w:t>
            </w:r>
          </w:p>
        </w:tc>
        <w:tc>
          <w:tcPr>
            <w:tcW w:w="10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400V</w:t>
            </w:r>
          </w:p>
        </w:tc>
        <w:tc>
          <w:tcPr>
            <w:tcW w:w="6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1</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二层发电机房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b w:val="0"/>
                <w:bCs w:val="0"/>
                <w:i w:val="0"/>
                <w:iCs w:val="0"/>
                <w:color w:val="000000"/>
                <w:kern w:val="0"/>
                <w:sz w:val="15"/>
                <w:szCs w:val="15"/>
                <w:u w:val="none"/>
                <w:lang w:val="en-US" w:eastAsia="zh-CN" w:bidi="ar"/>
              </w:rPr>
            </w:pPr>
            <w:r>
              <w:rPr>
                <w:rFonts w:hint="eastAsia" w:ascii="宋体" w:hAnsi="宋体" w:cs="宋体"/>
                <w:b w:val="0"/>
                <w:bCs w:val="0"/>
                <w:i w:val="0"/>
                <w:iCs w:val="0"/>
                <w:color w:val="000000"/>
                <w:kern w:val="0"/>
                <w:sz w:val="15"/>
                <w:szCs w:val="15"/>
                <w:u w:val="none"/>
                <w:lang w:val="en-US" w:eastAsia="zh-CN" w:bidi="ar"/>
              </w:rPr>
              <w:t>12</w:t>
            </w:r>
          </w:p>
        </w:tc>
        <w:tc>
          <w:tcPr>
            <w:tcW w:w="10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7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电池柜</w:t>
            </w:r>
          </w:p>
        </w:tc>
        <w:tc>
          <w:tcPr>
            <w:tcW w:w="2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w:t>
            </w:r>
          </w:p>
        </w:tc>
        <w:tc>
          <w:tcPr>
            <w:tcW w:w="10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12V</w:t>
            </w:r>
          </w:p>
        </w:tc>
        <w:tc>
          <w:tcPr>
            <w:tcW w:w="6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18</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二层发电机房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b w:val="0"/>
                <w:bCs w:val="0"/>
                <w:i w:val="0"/>
                <w:iCs w:val="0"/>
                <w:color w:val="000000"/>
                <w:kern w:val="0"/>
                <w:sz w:val="15"/>
                <w:szCs w:val="15"/>
                <w:u w:val="none"/>
                <w:lang w:val="en-US" w:eastAsia="zh-CN" w:bidi="ar"/>
              </w:rPr>
            </w:pPr>
            <w:r>
              <w:rPr>
                <w:rFonts w:hint="eastAsia" w:ascii="宋体" w:hAnsi="宋体" w:cs="宋体"/>
                <w:b w:val="0"/>
                <w:bCs w:val="0"/>
                <w:i w:val="0"/>
                <w:iCs w:val="0"/>
                <w:color w:val="000000"/>
                <w:kern w:val="0"/>
                <w:sz w:val="15"/>
                <w:szCs w:val="15"/>
                <w:u w:val="none"/>
                <w:lang w:val="en-US" w:eastAsia="zh-CN" w:bidi="ar"/>
              </w:rPr>
              <w:t>13</w:t>
            </w:r>
          </w:p>
        </w:tc>
        <w:tc>
          <w:tcPr>
            <w:tcW w:w="10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控制屏</w:t>
            </w:r>
          </w:p>
        </w:tc>
        <w:tc>
          <w:tcPr>
            <w:tcW w:w="17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柴发控制屏</w:t>
            </w:r>
          </w:p>
        </w:tc>
        <w:tc>
          <w:tcPr>
            <w:tcW w:w="2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w:t>
            </w:r>
          </w:p>
        </w:tc>
        <w:tc>
          <w:tcPr>
            <w:tcW w:w="10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w:t>
            </w:r>
          </w:p>
        </w:tc>
        <w:tc>
          <w:tcPr>
            <w:tcW w:w="6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2</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二层发电机房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b w:val="0"/>
                <w:bCs w:val="0"/>
                <w:i w:val="0"/>
                <w:iCs w:val="0"/>
                <w:color w:val="000000"/>
                <w:kern w:val="0"/>
                <w:sz w:val="15"/>
                <w:szCs w:val="15"/>
                <w:u w:val="none"/>
                <w:lang w:val="en-US" w:eastAsia="zh-CN" w:bidi="ar"/>
              </w:rPr>
            </w:pPr>
            <w:r>
              <w:rPr>
                <w:rFonts w:hint="eastAsia" w:ascii="宋体" w:hAnsi="宋体" w:cs="宋体"/>
                <w:b w:val="0"/>
                <w:bCs w:val="0"/>
                <w:i w:val="0"/>
                <w:iCs w:val="0"/>
                <w:color w:val="000000"/>
                <w:kern w:val="0"/>
                <w:sz w:val="15"/>
                <w:szCs w:val="15"/>
                <w:u w:val="none"/>
                <w:lang w:val="en-US" w:eastAsia="zh-CN" w:bidi="ar"/>
              </w:rPr>
              <w:t>14</w:t>
            </w:r>
          </w:p>
        </w:tc>
        <w:tc>
          <w:tcPr>
            <w:tcW w:w="10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油箱间</w:t>
            </w:r>
          </w:p>
        </w:tc>
        <w:tc>
          <w:tcPr>
            <w:tcW w:w="17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储油箱</w:t>
            </w:r>
          </w:p>
        </w:tc>
        <w:tc>
          <w:tcPr>
            <w:tcW w:w="2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w:t>
            </w:r>
          </w:p>
        </w:tc>
        <w:tc>
          <w:tcPr>
            <w:tcW w:w="10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1立方</w:t>
            </w:r>
          </w:p>
        </w:tc>
        <w:tc>
          <w:tcPr>
            <w:tcW w:w="6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2</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二层发电机房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b w:val="0"/>
                <w:bCs w:val="0"/>
                <w:i w:val="0"/>
                <w:iCs w:val="0"/>
                <w:color w:val="000000"/>
                <w:kern w:val="0"/>
                <w:sz w:val="15"/>
                <w:szCs w:val="15"/>
                <w:u w:val="none"/>
                <w:lang w:val="en-US" w:eastAsia="zh-CN" w:bidi="ar"/>
              </w:rPr>
            </w:pPr>
            <w:r>
              <w:rPr>
                <w:rFonts w:hint="eastAsia" w:ascii="宋体" w:hAnsi="宋体" w:cs="宋体"/>
                <w:b w:val="0"/>
                <w:bCs w:val="0"/>
                <w:i w:val="0"/>
                <w:iCs w:val="0"/>
                <w:color w:val="000000"/>
                <w:kern w:val="0"/>
                <w:sz w:val="15"/>
                <w:szCs w:val="15"/>
                <w:u w:val="none"/>
                <w:lang w:val="en-US" w:eastAsia="zh-CN" w:bidi="ar"/>
              </w:rPr>
              <w:t>15</w:t>
            </w:r>
          </w:p>
        </w:tc>
        <w:tc>
          <w:tcPr>
            <w:tcW w:w="10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烟气处设备</w:t>
            </w:r>
          </w:p>
        </w:tc>
        <w:tc>
          <w:tcPr>
            <w:tcW w:w="17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烟气净化器及管道</w:t>
            </w:r>
          </w:p>
        </w:tc>
        <w:tc>
          <w:tcPr>
            <w:tcW w:w="2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w:t>
            </w:r>
          </w:p>
        </w:tc>
        <w:tc>
          <w:tcPr>
            <w:tcW w:w="10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w:t>
            </w:r>
          </w:p>
        </w:tc>
        <w:tc>
          <w:tcPr>
            <w:tcW w:w="6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2</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二层发电机房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b w:val="0"/>
                <w:bCs w:val="0"/>
                <w:i w:val="0"/>
                <w:iCs w:val="0"/>
                <w:color w:val="000000"/>
                <w:kern w:val="0"/>
                <w:sz w:val="15"/>
                <w:szCs w:val="15"/>
                <w:u w:val="none"/>
                <w:lang w:val="en-US" w:eastAsia="zh-CN" w:bidi="ar"/>
              </w:rPr>
            </w:pPr>
            <w:r>
              <w:rPr>
                <w:rFonts w:hint="eastAsia" w:ascii="宋体" w:hAnsi="宋体" w:cs="宋体"/>
                <w:b w:val="0"/>
                <w:bCs w:val="0"/>
                <w:i w:val="0"/>
                <w:iCs w:val="0"/>
                <w:color w:val="000000"/>
                <w:kern w:val="0"/>
                <w:sz w:val="15"/>
                <w:szCs w:val="15"/>
                <w:u w:val="none"/>
                <w:lang w:val="en-US" w:eastAsia="zh-CN" w:bidi="ar"/>
              </w:rPr>
              <w:t>16</w:t>
            </w:r>
          </w:p>
        </w:tc>
        <w:tc>
          <w:tcPr>
            <w:tcW w:w="10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进排风</w:t>
            </w:r>
          </w:p>
        </w:tc>
        <w:tc>
          <w:tcPr>
            <w:tcW w:w="17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进风机及井道</w:t>
            </w:r>
          </w:p>
        </w:tc>
        <w:tc>
          <w:tcPr>
            <w:tcW w:w="2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w:t>
            </w:r>
          </w:p>
        </w:tc>
        <w:tc>
          <w:tcPr>
            <w:tcW w:w="10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w:t>
            </w:r>
          </w:p>
        </w:tc>
        <w:tc>
          <w:tcPr>
            <w:tcW w:w="6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7</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二层发电机房</w:t>
            </w:r>
          </w:p>
        </w:tc>
      </w:tr>
    </w:tbl>
    <w:p>
      <w:pPr>
        <w:pStyle w:val="10"/>
        <w:keepNext w:val="0"/>
        <w:keepLines w:val="0"/>
        <w:pageBreakBefore w:val="0"/>
        <w:widowControl w:val="0"/>
        <w:kinsoku/>
        <w:wordWrap/>
        <w:overflowPunct/>
        <w:topLinePunct w:val="0"/>
        <w:autoSpaceDE/>
        <w:autoSpaceDN/>
        <w:bidi w:val="0"/>
        <w:snapToGrid/>
        <w:spacing w:after="0" w:line="240" w:lineRule="auto"/>
        <w:ind w:left="0" w:leftChars="0" w:firstLine="640" w:firstLineChars="200"/>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二、技术要求</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baseline"/>
        <w:outlineLvl w:val="1"/>
        <w:rPr>
          <w:rFonts w:hint="eastAsia" w:ascii="楷体_GB2312" w:hAnsi="楷体_GB2312" w:eastAsia="楷体_GB2312" w:cs="楷体_GB2312"/>
          <w:b w:val="0"/>
          <w:bCs/>
          <w:color w:val="auto"/>
          <w:sz w:val="32"/>
          <w:szCs w:val="32"/>
        </w:rPr>
      </w:pPr>
      <w:bookmarkStart w:id="0" w:name="_Toc5891"/>
      <w:r>
        <w:rPr>
          <w:rFonts w:hint="eastAsia" w:ascii="楷体_GB2312" w:hAnsi="楷体_GB2312" w:eastAsia="楷体_GB2312" w:cs="楷体_GB2312"/>
          <w:b w:val="0"/>
          <w:bCs/>
          <w:color w:val="auto"/>
          <w:sz w:val="32"/>
          <w:szCs w:val="32"/>
          <w:lang w:val="en-US" w:eastAsia="zh-CN"/>
        </w:rPr>
        <w:t>（一）</w:t>
      </w:r>
      <w:r>
        <w:rPr>
          <w:rFonts w:hint="eastAsia" w:ascii="楷体_GB2312" w:hAnsi="楷体_GB2312" w:eastAsia="楷体_GB2312" w:cs="楷体_GB2312"/>
          <w:b w:val="0"/>
          <w:bCs/>
          <w:color w:val="auto"/>
          <w:sz w:val="32"/>
          <w:szCs w:val="32"/>
        </w:rPr>
        <w:t>故障响应及处置</w:t>
      </w:r>
      <w:bookmarkEnd w:id="0"/>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baseline"/>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lang w:val="en-US" w:eastAsia="zh-CN"/>
        </w:rPr>
        <w:t>1.</w:t>
      </w:r>
      <w:r>
        <w:rPr>
          <w:rFonts w:hint="eastAsia" w:ascii="仿宋_GB2312" w:hAnsi="仿宋_GB2312" w:eastAsia="仿宋_GB2312" w:cs="仿宋_GB2312"/>
          <w:bCs/>
          <w:color w:val="auto"/>
          <w:kern w:val="2"/>
          <w:sz w:val="32"/>
          <w:szCs w:val="32"/>
        </w:rPr>
        <w:t>本维保服务为7×24小时制，</w:t>
      </w:r>
      <w:r>
        <w:rPr>
          <w:rFonts w:hint="eastAsia" w:ascii="仿宋_GB2312" w:hAnsi="仿宋_GB2312" w:eastAsia="仿宋_GB2312" w:cs="仿宋_GB2312"/>
          <w:bCs/>
          <w:color w:val="auto"/>
          <w:kern w:val="2"/>
          <w:sz w:val="32"/>
          <w:szCs w:val="32"/>
          <w:lang w:eastAsia="zh-CN"/>
        </w:rPr>
        <w:t>中标人</w:t>
      </w:r>
      <w:r>
        <w:rPr>
          <w:rFonts w:hint="eastAsia" w:ascii="仿宋_GB2312" w:hAnsi="仿宋_GB2312" w:eastAsia="仿宋_GB2312" w:cs="仿宋_GB2312"/>
          <w:bCs/>
          <w:color w:val="auto"/>
          <w:kern w:val="2"/>
          <w:sz w:val="32"/>
          <w:szCs w:val="32"/>
        </w:rPr>
        <w:t>接到服务指令后，应做出实质性响应</w:t>
      </w:r>
      <w:r>
        <w:rPr>
          <w:rFonts w:hint="eastAsia" w:ascii="仿宋_GB2312" w:hAnsi="仿宋_GB2312" w:eastAsia="仿宋_GB2312" w:cs="仿宋_GB2312"/>
          <w:bCs/>
          <w:color w:val="auto"/>
          <w:kern w:val="2"/>
          <w:sz w:val="32"/>
          <w:szCs w:val="32"/>
          <w:lang w:eastAsia="zh-CN"/>
        </w:rPr>
        <w:t>、</w:t>
      </w:r>
      <w:r>
        <w:rPr>
          <w:rFonts w:hint="eastAsia" w:ascii="仿宋_GB2312" w:hAnsi="仿宋_GB2312" w:eastAsia="仿宋_GB2312" w:cs="仿宋_GB2312"/>
          <w:bCs/>
          <w:color w:val="auto"/>
          <w:kern w:val="2"/>
          <w:sz w:val="32"/>
          <w:szCs w:val="32"/>
        </w:rPr>
        <w:t>抵达现场并解决故障。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baseline"/>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lang w:val="en-US" w:eastAsia="zh-CN"/>
        </w:rPr>
        <w:t>2.</w:t>
      </w:r>
      <w:r>
        <w:rPr>
          <w:rFonts w:hint="eastAsia" w:ascii="仿宋_GB2312" w:hAnsi="仿宋_GB2312" w:eastAsia="仿宋_GB2312" w:cs="仿宋_GB2312"/>
          <w:bCs/>
          <w:color w:val="auto"/>
          <w:kern w:val="2"/>
          <w:sz w:val="32"/>
          <w:szCs w:val="32"/>
        </w:rPr>
        <w:t>一般故障。</w:t>
      </w:r>
      <w:r>
        <w:rPr>
          <w:rFonts w:hint="eastAsia" w:ascii="仿宋_GB2312" w:hAnsi="仿宋_GB2312" w:eastAsia="仿宋_GB2312" w:cs="仿宋_GB2312"/>
          <w:bCs/>
          <w:color w:val="auto"/>
          <w:kern w:val="2"/>
          <w:sz w:val="32"/>
          <w:szCs w:val="32"/>
          <w:lang w:eastAsia="zh-CN"/>
        </w:rPr>
        <w:t>中标人</w:t>
      </w:r>
      <w:r>
        <w:rPr>
          <w:rFonts w:hint="eastAsia" w:ascii="仿宋_GB2312" w:hAnsi="仿宋_GB2312" w:eastAsia="仿宋_GB2312" w:cs="仿宋_GB2312"/>
          <w:bCs/>
          <w:color w:val="auto"/>
          <w:kern w:val="2"/>
          <w:sz w:val="32"/>
          <w:szCs w:val="32"/>
        </w:rPr>
        <w:t>须在2小时内到达现场，到达现场后4小时内解决故障。若故障处理涉及非现场备件更换的，备件到场+备件更换总时限原则不超过48小时。</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baseline"/>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lang w:val="en-US" w:eastAsia="zh-CN"/>
        </w:rPr>
        <w:t>3.</w:t>
      </w:r>
      <w:r>
        <w:rPr>
          <w:rFonts w:hint="eastAsia" w:ascii="仿宋_GB2312" w:hAnsi="仿宋_GB2312" w:eastAsia="仿宋_GB2312" w:cs="仿宋_GB2312"/>
          <w:bCs/>
          <w:color w:val="auto"/>
          <w:kern w:val="2"/>
          <w:sz w:val="32"/>
          <w:szCs w:val="32"/>
        </w:rPr>
        <w:t>重要故障。直接或即将影响IT设备正常运行的情况，</w:t>
      </w:r>
      <w:r>
        <w:rPr>
          <w:rFonts w:hint="eastAsia" w:ascii="仿宋_GB2312" w:hAnsi="仿宋_GB2312" w:eastAsia="仿宋_GB2312" w:cs="仿宋_GB2312"/>
          <w:bCs/>
          <w:color w:val="auto"/>
          <w:kern w:val="2"/>
          <w:sz w:val="32"/>
          <w:szCs w:val="32"/>
          <w:lang w:eastAsia="zh-CN"/>
        </w:rPr>
        <w:t>中标人</w:t>
      </w:r>
      <w:r>
        <w:rPr>
          <w:rFonts w:hint="eastAsia" w:ascii="仿宋_GB2312" w:hAnsi="仿宋_GB2312" w:eastAsia="仿宋_GB2312" w:cs="仿宋_GB2312"/>
          <w:bCs/>
          <w:color w:val="auto"/>
          <w:kern w:val="2"/>
          <w:sz w:val="32"/>
          <w:szCs w:val="32"/>
        </w:rPr>
        <w:t>须1小时内到达现场，到达现场后2小时内解决故障，恢复系统正常运行。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baseline"/>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lang w:val="en-US" w:eastAsia="zh-CN"/>
        </w:rPr>
        <w:t>4.</w:t>
      </w:r>
      <w:r>
        <w:rPr>
          <w:rFonts w:hint="eastAsia" w:ascii="仿宋_GB2312" w:hAnsi="仿宋_GB2312" w:eastAsia="仿宋_GB2312" w:cs="仿宋_GB2312"/>
          <w:bCs/>
          <w:color w:val="auto"/>
          <w:kern w:val="2"/>
          <w:sz w:val="32"/>
          <w:szCs w:val="32"/>
        </w:rPr>
        <w:t>紧急事件。遭遇“特、紧、急”等状况时，</w:t>
      </w:r>
      <w:r>
        <w:rPr>
          <w:rFonts w:hint="eastAsia" w:ascii="仿宋_GB2312" w:hAnsi="仿宋_GB2312" w:eastAsia="仿宋_GB2312" w:cs="仿宋_GB2312"/>
          <w:bCs/>
          <w:color w:val="auto"/>
          <w:kern w:val="2"/>
          <w:sz w:val="32"/>
          <w:szCs w:val="32"/>
          <w:lang w:eastAsia="zh-CN"/>
        </w:rPr>
        <w:t>中标人</w:t>
      </w:r>
      <w:r>
        <w:rPr>
          <w:rFonts w:hint="eastAsia" w:ascii="仿宋_GB2312" w:hAnsi="仿宋_GB2312" w:eastAsia="仿宋_GB2312" w:cs="仿宋_GB2312"/>
          <w:bCs/>
          <w:color w:val="auto"/>
          <w:kern w:val="2"/>
          <w:sz w:val="32"/>
          <w:szCs w:val="32"/>
        </w:rPr>
        <w:t>应提供甲方认可的临时替代解决方案，以最大限度保证业务系统不间断正常运行。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baseline"/>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lang w:val="en-US" w:eastAsia="zh-CN"/>
        </w:rPr>
        <w:t>5.</w:t>
      </w:r>
      <w:r>
        <w:rPr>
          <w:rFonts w:hint="eastAsia" w:ascii="仿宋_GB2312" w:hAnsi="仿宋_GB2312" w:eastAsia="仿宋_GB2312" w:cs="仿宋_GB2312"/>
          <w:bCs/>
          <w:color w:val="auto"/>
          <w:kern w:val="2"/>
          <w:sz w:val="32"/>
          <w:szCs w:val="32"/>
        </w:rPr>
        <w:t>故障报告。故障解决后，</w:t>
      </w:r>
      <w:r>
        <w:rPr>
          <w:rFonts w:hint="eastAsia" w:ascii="仿宋_GB2312" w:hAnsi="仿宋_GB2312" w:eastAsia="仿宋_GB2312" w:cs="仿宋_GB2312"/>
          <w:bCs/>
          <w:color w:val="auto"/>
          <w:kern w:val="2"/>
          <w:sz w:val="32"/>
          <w:szCs w:val="32"/>
          <w:lang w:eastAsia="zh-CN"/>
        </w:rPr>
        <w:t>中标人</w:t>
      </w:r>
      <w:r>
        <w:rPr>
          <w:rFonts w:hint="eastAsia" w:ascii="仿宋_GB2312" w:hAnsi="仿宋_GB2312" w:eastAsia="仿宋_GB2312" w:cs="仿宋_GB2312"/>
          <w:bCs/>
          <w:color w:val="auto"/>
          <w:kern w:val="2"/>
          <w:sz w:val="32"/>
          <w:szCs w:val="32"/>
        </w:rPr>
        <w:t>应对故障原因进行分析，并提交完整的故障报告。硬件故障需明确定位部件，软件故障应明确说明触发机制和解决方案。</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baseline"/>
        <w:outlineLvl w:val="1"/>
        <w:rPr>
          <w:rFonts w:hint="eastAsia" w:ascii="楷体_GB2312" w:hAnsi="楷体_GB2312" w:eastAsia="楷体_GB2312" w:cs="楷体_GB2312"/>
          <w:b w:val="0"/>
          <w:bCs/>
          <w:color w:val="auto"/>
          <w:sz w:val="32"/>
          <w:szCs w:val="32"/>
          <w:lang w:val="en-US" w:eastAsia="zh-CN"/>
        </w:rPr>
      </w:pPr>
      <w:bookmarkStart w:id="1" w:name="_Toc30085"/>
      <w:r>
        <w:rPr>
          <w:rFonts w:hint="eastAsia" w:ascii="楷体_GB2312" w:hAnsi="楷体_GB2312" w:eastAsia="楷体_GB2312" w:cs="楷体_GB2312"/>
          <w:b w:val="0"/>
          <w:bCs/>
          <w:color w:val="auto"/>
          <w:sz w:val="32"/>
          <w:szCs w:val="32"/>
          <w:lang w:val="en-US" w:eastAsia="zh-CN"/>
        </w:rPr>
        <w:t>（二）备品备件</w:t>
      </w:r>
      <w:bookmarkEnd w:id="1"/>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baseline"/>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lang w:val="en-US" w:eastAsia="zh-CN"/>
        </w:rPr>
        <w:t>1.</w:t>
      </w:r>
      <w:r>
        <w:rPr>
          <w:rFonts w:hint="eastAsia" w:ascii="仿宋_GB2312" w:hAnsi="仿宋_GB2312" w:eastAsia="仿宋_GB2312" w:cs="仿宋_GB2312"/>
          <w:bCs/>
          <w:color w:val="auto"/>
          <w:kern w:val="2"/>
          <w:sz w:val="32"/>
          <w:szCs w:val="32"/>
        </w:rPr>
        <w:t>因本项目维护、保养、维修所需的一切相关备件、耗材均由</w:t>
      </w:r>
      <w:r>
        <w:rPr>
          <w:rFonts w:hint="eastAsia" w:ascii="仿宋_GB2312" w:hAnsi="仿宋_GB2312" w:eastAsia="仿宋_GB2312" w:cs="仿宋_GB2312"/>
          <w:bCs/>
          <w:color w:val="auto"/>
          <w:kern w:val="2"/>
          <w:sz w:val="32"/>
          <w:szCs w:val="32"/>
          <w:lang w:eastAsia="zh-CN"/>
        </w:rPr>
        <w:t>中标人</w:t>
      </w:r>
      <w:r>
        <w:rPr>
          <w:rFonts w:hint="eastAsia" w:ascii="仿宋_GB2312" w:hAnsi="仿宋_GB2312" w:eastAsia="仿宋_GB2312" w:cs="仿宋_GB2312"/>
          <w:bCs/>
          <w:color w:val="auto"/>
          <w:kern w:val="2"/>
          <w:sz w:val="32"/>
          <w:szCs w:val="32"/>
        </w:rPr>
        <w:t>承担，</w:t>
      </w:r>
      <w:r>
        <w:rPr>
          <w:rFonts w:hint="eastAsia" w:ascii="仿宋_GB2312" w:hAnsi="仿宋_GB2312" w:eastAsia="仿宋_GB2312" w:cs="仿宋_GB2312"/>
          <w:bCs/>
          <w:color w:val="auto"/>
          <w:kern w:val="2"/>
          <w:sz w:val="32"/>
          <w:szCs w:val="32"/>
          <w:lang w:eastAsia="zh-CN"/>
        </w:rPr>
        <w:t>中标人</w:t>
      </w:r>
      <w:r>
        <w:rPr>
          <w:rFonts w:hint="eastAsia" w:ascii="仿宋_GB2312" w:hAnsi="仿宋_GB2312" w:eastAsia="仿宋_GB2312" w:cs="仿宋_GB2312"/>
          <w:bCs/>
          <w:color w:val="auto"/>
          <w:kern w:val="2"/>
          <w:sz w:val="32"/>
          <w:szCs w:val="32"/>
        </w:rPr>
        <w:t>应在项目现场设立常用备品备件库，并自行做好备品备件的管理、补充和更新。</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baseline"/>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lang w:val="en-US" w:eastAsia="zh-CN"/>
        </w:rPr>
        <w:t>2.</w:t>
      </w:r>
      <w:r>
        <w:rPr>
          <w:rFonts w:hint="eastAsia" w:ascii="仿宋_GB2312" w:hAnsi="仿宋_GB2312" w:eastAsia="仿宋_GB2312" w:cs="仿宋_GB2312"/>
          <w:bCs/>
          <w:color w:val="auto"/>
          <w:kern w:val="2"/>
          <w:sz w:val="32"/>
          <w:szCs w:val="32"/>
          <w:lang w:eastAsia="zh-CN"/>
        </w:rPr>
        <w:t>中标人</w:t>
      </w:r>
      <w:r>
        <w:rPr>
          <w:rFonts w:hint="eastAsia" w:ascii="仿宋_GB2312" w:hAnsi="仿宋_GB2312" w:eastAsia="仿宋_GB2312" w:cs="仿宋_GB2312"/>
          <w:bCs/>
          <w:color w:val="auto"/>
          <w:kern w:val="2"/>
          <w:sz w:val="32"/>
          <w:szCs w:val="32"/>
        </w:rPr>
        <w:t>使用于本项目的备件和耗材，在品牌、型号、规格上均须与现场原有设备保持一致，若因产品停产、型号升级等原因不能满足上述要求的，</w:t>
      </w:r>
      <w:r>
        <w:rPr>
          <w:rFonts w:hint="eastAsia" w:ascii="仿宋_GB2312" w:hAnsi="仿宋_GB2312" w:eastAsia="仿宋_GB2312" w:cs="仿宋_GB2312"/>
          <w:bCs/>
          <w:color w:val="auto"/>
          <w:kern w:val="2"/>
          <w:sz w:val="32"/>
          <w:szCs w:val="32"/>
          <w:lang w:eastAsia="zh-CN"/>
        </w:rPr>
        <w:t>中标人</w:t>
      </w:r>
      <w:r>
        <w:rPr>
          <w:rFonts w:hint="eastAsia" w:ascii="仿宋_GB2312" w:hAnsi="仿宋_GB2312" w:eastAsia="仿宋_GB2312" w:cs="仿宋_GB2312"/>
          <w:bCs/>
          <w:color w:val="auto"/>
          <w:kern w:val="2"/>
          <w:sz w:val="32"/>
          <w:szCs w:val="32"/>
        </w:rPr>
        <w:t>须提供不低于现场标准的解决方案并经甲方认可后方可实施。</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baseline"/>
        <w:outlineLvl w:val="1"/>
        <w:rPr>
          <w:rFonts w:hint="eastAsia" w:ascii="楷体_GB2312" w:hAnsi="楷体_GB2312" w:eastAsia="楷体_GB2312" w:cs="楷体_GB2312"/>
          <w:b w:val="0"/>
          <w:bCs/>
          <w:color w:val="auto"/>
          <w:sz w:val="32"/>
          <w:szCs w:val="32"/>
          <w:lang w:val="en-US" w:eastAsia="zh-CN"/>
        </w:rPr>
      </w:pPr>
      <w:bookmarkStart w:id="2" w:name="_Toc14713"/>
      <w:r>
        <w:rPr>
          <w:rFonts w:hint="eastAsia" w:ascii="楷体_GB2312" w:hAnsi="楷体_GB2312" w:eastAsia="楷体_GB2312" w:cs="楷体_GB2312"/>
          <w:b w:val="0"/>
          <w:bCs/>
          <w:color w:val="auto"/>
          <w:sz w:val="32"/>
          <w:szCs w:val="32"/>
          <w:lang w:val="en-US" w:eastAsia="zh-CN"/>
        </w:rPr>
        <w:t>（三）巡检与维护</w:t>
      </w:r>
      <w:bookmarkEnd w:id="2"/>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baseline"/>
        <w:outlineLvl w:val="1"/>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eastAsia="zh-CN"/>
        </w:rPr>
        <w:t>中标人</w:t>
      </w:r>
      <w:r>
        <w:rPr>
          <w:rFonts w:hint="eastAsia" w:ascii="仿宋_GB2312" w:hAnsi="仿宋_GB2312" w:eastAsia="仿宋_GB2312" w:cs="仿宋_GB2312"/>
          <w:bCs/>
          <w:color w:val="auto"/>
          <w:kern w:val="2"/>
          <w:sz w:val="32"/>
          <w:szCs w:val="32"/>
        </w:rPr>
        <w:t>需根据</w:t>
      </w:r>
      <w:r>
        <w:rPr>
          <w:rFonts w:hint="eastAsia" w:ascii="仿宋_GB2312" w:hAnsi="仿宋_GB2312" w:eastAsia="仿宋_GB2312" w:cs="仿宋_GB2312"/>
          <w:bCs/>
          <w:color w:val="auto"/>
          <w:kern w:val="2"/>
          <w:sz w:val="32"/>
          <w:szCs w:val="32"/>
          <w:lang w:val="en-US" w:eastAsia="zh-CN"/>
        </w:rPr>
        <w:t>《数据中心基础设施运行维护标准》</w:t>
      </w:r>
      <w:r>
        <w:rPr>
          <w:rFonts w:hint="eastAsia" w:ascii="仿宋_GB2312" w:hAnsi="仿宋_GB2312" w:eastAsia="仿宋_GB2312" w:cs="仿宋_GB2312"/>
          <w:bCs/>
          <w:color w:val="auto"/>
          <w:kern w:val="2"/>
          <w:sz w:val="32"/>
          <w:szCs w:val="32"/>
        </w:rPr>
        <w:t>相关要求，结合项目实际情况制定详实维保计划及检查项，经甲方审核同意后作为相应的作业指导书开展巡检、维护工作。</w:t>
      </w:r>
      <w:bookmarkStart w:id="3" w:name="_Toc20132"/>
      <w:r>
        <w:rPr>
          <w:rFonts w:hint="eastAsia" w:ascii="仿宋_GB2312" w:hAnsi="仿宋_GB2312" w:eastAsia="仿宋_GB2312" w:cs="仿宋_GB2312"/>
          <w:bCs/>
          <w:color w:val="auto"/>
          <w:kern w:val="2"/>
          <w:sz w:val="32"/>
          <w:szCs w:val="32"/>
          <w:lang w:val="en-US" w:eastAsia="zh-CN"/>
        </w:rPr>
        <w:t>定期开展月度、季度、半年、年度巡检维护、预防性维护、</w:t>
      </w:r>
      <w:r>
        <w:rPr>
          <w:rFonts w:hint="eastAsia" w:ascii="仿宋_GB2312" w:hAnsi="仿宋_GB2312" w:eastAsia="仿宋_GB2312" w:cs="仿宋_GB2312"/>
          <w:color w:val="auto"/>
          <w:sz w:val="32"/>
          <w:szCs w:val="32"/>
          <w:lang w:val="en-US" w:eastAsia="zh-CN"/>
        </w:rPr>
        <w:t>油液更换、三滤更换</w:t>
      </w:r>
      <w:r>
        <w:rPr>
          <w:rFonts w:hint="eastAsia" w:ascii="仿宋_GB2312" w:hAnsi="仿宋_GB2312" w:eastAsia="仿宋_GB2312" w:cs="仿宋_GB2312"/>
          <w:bCs/>
          <w:color w:val="auto"/>
          <w:kern w:val="2"/>
          <w:sz w:val="32"/>
          <w:szCs w:val="32"/>
          <w:lang w:val="en-US" w:eastAsia="zh-CN"/>
        </w:rPr>
        <w:t>等。</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baseline"/>
        <w:outlineLvl w:val="1"/>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（四）演练与配合</w:t>
      </w:r>
      <w:bookmarkEnd w:id="3"/>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baseline"/>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lang w:val="en-US" w:eastAsia="zh-CN"/>
        </w:rPr>
        <w:t>1.</w:t>
      </w:r>
      <w:r>
        <w:rPr>
          <w:rFonts w:hint="eastAsia" w:ascii="仿宋_GB2312" w:hAnsi="仿宋_GB2312" w:eastAsia="仿宋_GB2312" w:cs="仿宋_GB2312"/>
          <w:bCs/>
          <w:color w:val="auto"/>
          <w:kern w:val="2"/>
          <w:sz w:val="32"/>
          <w:szCs w:val="32"/>
          <w:lang w:eastAsia="zh-CN"/>
        </w:rPr>
        <w:t>中标人</w:t>
      </w:r>
      <w:r>
        <w:rPr>
          <w:rFonts w:hint="eastAsia" w:ascii="仿宋_GB2312" w:hAnsi="仿宋_GB2312" w:eastAsia="仿宋_GB2312" w:cs="仿宋_GB2312"/>
          <w:bCs/>
          <w:color w:val="auto"/>
          <w:kern w:val="2"/>
          <w:sz w:val="32"/>
          <w:szCs w:val="32"/>
        </w:rPr>
        <w:t>需无条件配合数据中心各项应急演练工作，在演练期间派驻专业经验丰富的工程师，提供演练所需仪表和工具。</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baseline"/>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lang w:val="en-US" w:eastAsia="zh-CN"/>
        </w:rPr>
        <w:t>2.</w:t>
      </w:r>
      <w:r>
        <w:rPr>
          <w:rFonts w:hint="eastAsia" w:ascii="仿宋_GB2312" w:hAnsi="仿宋_GB2312" w:eastAsia="仿宋_GB2312" w:cs="仿宋_GB2312"/>
          <w:bCs/>
          <w:color w:val="auto"/>
          <w:kern w:val="2"/>
          <w:sz w:val="32"/>
          <w:szCs w:val="32"/>
        </w:rPr>
        <w:t>如遭遇停电或甲方重要活动等保障需求时，</w:t>
      </w:r>
      <w:r>
        <w:rPr>
          <w:rFonts w:hint="eastAsia" w:ascii="仿宋_GB2312" w:hAnsi="仿宋_GB2312" w:eastAsia="仿宋_GB2312" w:cs="仿宋_GB2312"/>
          <w:bCs/>
          <w:color w:val="auto"/>
          <w:kern w:val="2"/>
          <w:sz w:val="32"/>
          <w:szCs w:val="32"/>
          <w:lang w:eastAsia="zh-CN"/>
        </w:rPr>
        <w:t>中标人</w:t>
      </w:r>
      <w:r>
        <w:rPr>
          <w:rFonts w:hint="eastAsia" w:ascii="仿宋_GB2312" w:hAnsi="仿宋_GB2312" w:eastAsia="仿宋_GB2312" w:cs="仿宋_GB2312"/>
          <w:bCs/>
          <w:color w:val="auto"/>
          <w:kern w:val="2"/>
          <w:sz w:val="32"/>
          <w:szCs w:val="32"/>
        </w:rPr>
        <w:t>应无条件安排相关专业经验丰富的工程师到现场，参与应急保障工作，直至事件处理完成。</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baseline"/>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lang w:val="en-US" w:eastAsia="zh-CN"/>
        </w:rPr>
        <w:t>3.</w:t>
      </w:r>
      <w:r>
        <w:rPr>
          <w:rFonts w:hint="eastAsia" w:ascii="仿宋_GB2312" w:hAnsi="仿宋_GB2312" w:eastAsia="仿宋_GB2312" w:cs="仿宋_GB2312"/>
          <w:bCs/>
          <w:color w:val="auto"/>
          <w:kern w:val="2"/>
          <w:sz w:val="32"/>
          <w:szCs w:val="32"/>
        </w:rPr>
        <w:t>如遇监管部门等检查工作需要，</w:t>
      </w:r>
      <w:r>
        <w:rPr>
          <w:rFonts w:hint="eastAsia" w:ascii="仿宋_GB2312" w:hAnsi="仿宋_GB2312" w:eastAsia="仿宋_GB2312" w:cs="仿宋_GB2312"/>
          <w:bCs/>
          <w:color w:val="auto"/>
          <w:kern w:val="2"/>
          <w:sz w:val="32"/>
          <w:szCs w:val="32"/>
          <w:lang w:eastAsia="zh-CN"/>
        </w:rPr>
        <w:t>中标人</w:t>
      </w:r>
      <w:r>
        <w:rPr>
          <w:rFonts w:hint="eastAsia" w:ascii="仿宋_GB2312" w:hAnsi="仿宋_GB2312" w:eastAsia="仿宋_GB2312" w:cs="仿宋_GB2312"/>
          <w:bCs/>
          <w:color w:val="auto"/>
          <w:kern w:val="2"/>
          <w:sz w:val="32"/>
          <w:szCs w:val="32"/>
        </w:rPr>
        <w:t xml:space="preserve">应无条件安排相关专业经验丰富的工程师到现场，参与应设备检查、故障处理等工作，直至事件处理完成。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baseline"/>
        <w:outlineLvl w:val="1"/>
        <w:rPr>
          <w:rFonts w:hint="eastAsia" w:ascii="楷体_GB2312" w:hAnsi="楷体_GB2312" w:eastAsia="楷体_GB2312" w:cs="楷体_GB2312"/>
          <w:b w:val="0"/>
          <w:bCs/>
          <w:color w:val="auto"/>
          <w:sz w:val="32"/>
          <w:szCs w:val="32"/>
          <w:lang w:val="en-US" w:eastAsia="zh-CN"/>
        </w:rPr>
      </w:pPr>
      <w:bookmarkStart w:id="4" w:name="_Toc3458"/>
      <w:bookmarkStart w:id="5" w:name="_Toc11717"/>
      <w:r>
        <w:rPr>
          <w:rFonts w:hint="eastAsia" w:ascii="楷体_GB2312" w:hAnsi="楷体_GB2312" w:eastAsia="楷体_GB2312" w:cs="楷体_GB2312"/>
          <w:b w:val="0"/>
          <w:bCs/>
          <w:color w:val="auto"/>
          <w:sz w:val="32"/>
          <w:szCs w:val="32"/>
          <w:lang w:val="en-US" w:eastAsia="zh-CN"/>
        </w:rPr>
        <w:t>（五）维护工具</w:t>
      </w:r>
      <w:bookmarkEnd w:id="4"/>
      <w:bookmarkEnd w:id="5"/>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中标人应针对本项目配置完备的专用工具和仪器仪表，并附相关合格证，工具和仪器仪表清单及使用说明资料。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baseline"/>
        <w:outlineLvl w:val="1"/>
        <w:rPr>
          <w:rFonts w:hint="eastAsia" w:ascii="楷体_GB2312" w:hAnsi="楷体_GB2312" w:eastAsia="楷体_GB2312" w:cs="楷体_GB2312"/>
          <w:b w:val="0"/>
          <w:bCs/>
          <w:color w:val="auto"/>
          <w:sz w:val="32"/>
          <w:szCs w:val="32"/>
          <w:lang w:val="en-US" w:eastAsia="zh-CN"/>
        </w:rPr>
      </w:pPr>
      <w:bookmarkStart w:id="6" w:name="_Toc23320"/>
      <w:bookmarkStart w:id="7" w:name="_Toc12139"/>
      <w:r>
        <w:rPr>
          <w:rFonts w:hint="eastAsia" w:ascii="楷体_GB2312" w:hAnsi="楷体_GB2312" w:eastAsia="楷体_GB2312" w:cs="楷体_GB2312"/>
          <w:b w:val="0"/>
          <w:bCs/>
          <w:color w:val="auto"/>
          <w:sz w:val="32"/>
          <w:szCs w:val="32"/>
          <w:lang w:val="en-US" w:eastAsia="zh-CN"/>
        </w:rPr>
        <w:t>（六）人员资质</w:t>
      </w:r>
      <w:bookmarkEnd w:id="6"/>
      <w:bookmarkEnd w:id="7"/>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中标人派往本项目的人员资质、能力需符合供配电、柴油发电机组操作和维修规范要求，且维保团队应固定，若有人员离职等情况的，中标人需提前15天向甲方报备，并经过甲方允许后方可更换维保人员。</w:t>
      </w:r>
    </w:p>
    <w:p>
      <w:pPr>
        <w:pStyle w:val="28"/>
        <w:keepNext w:val="0"/>
        <w:keepLines w:val="0"/>
        <w:pageBreakBefore w:val="0"/>
        <w:kinsoku/>
        <w:wordWrap/>
        <w:overflowPunct/>
        <w:topLinePunct w:val="0"/>
        <w:autoSpaceDE/>
        <w:autoSpaceDN/>
        <w:bidi w:val="0"/>
        <w:adjustRightInd w:val="0"/>
        <w:snapToGrid w:val="0"/>
        <w:spacing w:after="0" w:line="240" w:lineRule="auto"/>
        <w:ind w:firstLine="42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三、实施方案。</w:t>
      </w:r>
    </w:p>
    <w:p>
      <w:pPr>
        <w:pStyle w:val="28"/>
        <w:keepNext w:val="0"/>
        <w:keepLines w:val="0"/>
        <w:pageBreakBefore w:val="0"/>
        <w:kinsoku/>
        <w:wordWrap/>
        <w:overflowPunct/>
        <w:topLinePunct w:val="0"/>
        <w:autoSpaceDE/>
        <w:autoSpaceDN/>
        <w:bidi w:val="0"/>
        <w:adjustRightInd w:val="0"/>
        <w:snapToGrid w:val="0"/>
        <w:spacing w:after="0" w:line="240" w:lineRule="auto"/>
        <w:ind w:firstLine="42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中标人应按照</w:t>
      </w:r>
      <w:r>
        <w:rPr>
          <w:rFonts w:hint="eastAsia" w:ascii="仿宋_GB2312" w:hAnsi="仿宋_GB2312" w:eastAsia="仿宋_GB2312" w:cs="仿宋_GB2312"/>
          <w:bCs/>
          <w:color w:val="auto"/>
          <w:kern w:val="2"/>
          <w:sz w:val="32"/>
          <w:szCs w:val="32"/>
          <w:lang w:val="en-US" w:eastAsia="zh-CN"/>
        </w:rPr>
        <w:t>《数据中心基础设施运行维护标准》</w:t>
      </w:r>
      <w:r>
        <w:rPr>
          <w:rFonts w:hint="eastAsia" w:ascii="仿宋_GB2312" w:hAnsi="仿宋_GB2312" w:eastAsia="仿宋_GB2312" w:cs="仿宋_GB2312"/>
          <w:bCs/>
          <w:color w:val="auto"/>
          <w:kern w:val="2"/>
          <w:sz w:val="32"/>
          <w:szCs w:val="32"/>
        </w:rPr>
        <w:t>相关要求</w:t>
      </w:r>
      <w:r>
        <w:rPr>
          <w:rFonts w:hint="eastAsia" w:ascii="仿宋_GB2312" w:hAnsi="仿宋_GB2312" w:eastAsia="仿宋_GB2312" w:cs="仿宋_GB2312"/>
          <w:color w:val="auto"/>
          <w:kern w:val="0"/>
          <w:sz w:val="32"/>
          <w:szCs w:val="32"/>
          <w:lang w:val="en-US" w:eastAsia="zh-CN" w:bidi="ar-SA"/>
        </w:rPr>
        <w:t xml:space="preserve">，编制观山湖数据中心关键基础设施（应急供电）维保实施方案。 </w:t>
      </w:r>
      <w:r>
        <w:rPr>
          <w:rFonts w:hint="eastAsia" w:ascii="仿宋_GB2312" w:hAnsi="仿宋_GB2312" w:eastAsia="仿宋_GB2312" w:cs="仿宋_GB2312"/>
          <w:kern w:val="0"/>
          <w:sz w:val="32"/>
          <w:szCs w:val="32"/>
          <w:lang w:val="en-US" w:eastAsia="zh-CN" w:bidi="ar-SA"/>
        </w:rPr>
        <w:t xml:space="preserve">  </w:t>
      </w:r>
    </w:p>
    <w:p>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640" w:firstLineChars="200"/>
        <w:textAlignment w:val="auto"/>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四、验收标准</w:t>
      </w:r>
    </w:p>
    <w:p>
      <w:pPr>
        <w:keepNext w:val="0"/>
        <w:keepLines w:val="0"/>
        <w:pageBreakBefore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sz w:val="32"/>
          <w:szCs w:val="32"/>
          <w:lang w:val="en-US" w:eastAsia="zh-CN" w:bidi="ar-SA"/>
        </w:rPr>
      </w:pPr>
      <w:bookmarkStart w:id="8" w:name="_bookmark141"/>
      <w:bookmarkEnd w:id="8"/>
      <w:r>
        <w:rPr>
          <w:rFonts w:hint="eastAsia" w:ascii="仿宋_GB2312" w:hAnsi="仿宋_GB2312" w:eastAsia="仿宋_GB2312" w:cs="仿宋_GB2312"/>
          <w:sz w:val="32"/>
          <w:szCs w:val="32"/>
          <w:lang w:val="en-US" w:eastAsia="zh-CN" w:bidi="ar-SA"/>
        </w:rPr>
        <w:t>服务结束后，采取会议方式进行维保服务验收，并签署《服务项目验收报告》。</w:t>
      </w:r>
    </w:p>
    <w:p>
      <w:pPr>
        <w:keepNext w:val="0"/>
        <w:keepLines w:val="0"/>
        <w:pageBreakBefore w:val="0"/>
        <w:kinsoku/>
        <w:wordWrap/>
        <w:overflowPunct/>
        <w:topLinePunct w:val="0"/>
        <w:autoSpaceDE/>
        <w:autoSpaceDN/>
        <w:bidi w:val="0"/>
        <w:adjustRightInd w:val="0"/>
        <w:snapToGrid w:val="0"/>
        <w:spacing w:line="240" w:lineRule="auto"/>
        <w:ind w:firstLine="640" w:firstLineChars="200"/>
        <w:textAlignment w:val="auto"/>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五、安全管理</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lang w:val="en-US" w:eastAsia="zh-CN" w:bidi="ar-SA"/>
        </w:rPr>
        <w:t>中标人（乙方）承担本项目范围内工作事项的所有安全管理职责，包含但不限于：严格遵守国家安全生产相关的法律法规，确保项目服务团队人员身体健康状况及技能水平足以胜任本项目实施要求，对项目服务团队人员进行与项目实施相关的安全操作培训，确保项目服务团队人员具备国家相关部门认定的作业资质。</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7" o:spid="_x0000_s1027" o:spt="202" type="#_x0000_t202" style="position:absolute;left:0pt;margin-left:394pt;margin-top:-20.25pt;height:144pt;width:144pt;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C8377A"/>
    <w:multiLevelType w:val="multilevel"/>
    <w:tmpl w:val="54C8377A"/>
    <w:lvl w:ilvl="0" w:tentative="0">
      <w:start w:val="1"/>
      <w:numFmt w:val="chineseCountingThousand"/>
      <w:suff w:val="space"/>
      <w:lvlText w:val="第%1章"/>
      <w:lvlJc w:val="left"/>
      <w:pPr>
        <w:ind w:left="432" w:hanging="432"/>
      </w:pPr>
      <w:rPr>
        <w:rFonts w:hint="eastAsia"/>
      </w:rPr>
    </w:lvl>
    <w:lvl w:ilvl="1" w:tentative="0">
      <w:start w:val="1"/>
      <w:numFmt w:val="chineseCountingThousand"/>
      <w:pStyle w:val="2"/>
      <w:isLgl/>
      <w:suff w:val="space"/>
      <w:lvlText w:val="%1.%2"/>
      <w:lvlJc w:val="left"/>
      <w:pPr>
        <w:ind w:left="0" w:firstLine="0"/>
      </w:pPr>
      <w:rPr>
        <w:rFonts w:hint="eastAsia"/>
      </w:rPr>
    </w:lvl>
    <w:lvl w:ilvl="2" w:tentative="0">
      <w:start w:val="2"/>
      <w:numFmt w:val="decimal"/>
      <w:pStyle w:val="4"/>
      <w:isLgl/>
      <w:suff w:val="space"/>
      <w:lvlText w:val="%1.%2.%3"/>
      <w:lvlJc w:val="left"/>
      <w:pPr>
        <w:ind w:left="720" w:hanging="720"/>
      </w:pPr>
      <w:rPr>
        <w:rFonts w:hint="eastAsia"/>
      </w:rPr>
    </w:lvl>
    <w:lvl w:ilvl="3" w:tentative="0">
      <w:start w:val="1"/>
      <w:numFmt w:val="decimal"/>
      <w:isLgl/>
      <w:suff w:val="space"/>
      <w:lvlText w:val="%2.%3.%4"/>
      <w:lvlJc w:val="left"/>
      <w:pPr>
        <w:ind w:left="1857" w:hanging="864"/>
      </w:pPr>
      <w:rPr>
        <w:rFonts w:hint="eastAsia"/>
        <w:b w:val="0"/>
        <w:bCs w:val="0"/>
        <w:i w:val="0"/>
        <w:iCs w:val="0"/>
        <w:caps w:val="0"/>
        <w:smallCaps w:val="0"/>
        <w:strike w:val="0"/>
        <w:dstrike w:val="0"/>
        <w:color w:val="000000"/>
        <w:spacing w:val="0"/>
        <w:position w:val="0"/>
        <w:u w:val="none"/>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F1756"/>
    <w:rsid w:val="00002B27"/>
    <w:rsid w:val="00007224"/>
    <w:rsid w:val="000156D2"/>
    <w:rsid w:val="00016683"/>
    <w:rsid w:val="00025B15"/>
    <w:rsid w:val="00027468"/>
    <w:rsid w:val="00030DA9"/>
    <w:rsid w:val="0004553B"/>
    <w:rsid w:val="000501B5"/>
    <w:rsid w:val="00062A1D"/>
    <w:rsid w:val="00066568"/>
    <w:rsid w:val="00082206"/>
    <w:rsid w:val="00094418"/>
    <w:rsid w:val="00094CA9"/>
    <w:rsid w:val="00094F3B"/>
    <w:rsid w:val="000A1964"/>
    <w:rsid w:val="000A1CC8"/>
    <w:rsid w:val="000A6342"/>
    <w:rsid w:val="000B0A51"/>
    <w:rsid w:val="000B2801"/>
    <w:rsid w:val="000B470E"/>
    <w:rsid w:val="000B786C"/>
    <w:rsid w:val="000C13E5"/>
    <w:rsid w:val="000C2CDA"/>
    <w:rsid w:val="000C3C5F"/>
    <w:rsid w:val="000D0C4C"/>
    <w:rsid w:val="000E0E3E"/>
    <w:rsid w:val="000E455F"/>
    <w:rsid w:val="000F0013"/>
    <w:rsid w:val="000F120C"/>
    <w:rsid w:val="000F4FBD"/>
    <w:rsid w:val="00124CCE"/>
    <w:rsid w:val="001314AD"/>
    <w:rsid w:val="00133FAA"/>
    <w:rsid w:val="0013470B"/>
    <w:rsid w:val="001406C6"/>
    <w:rsid w:val="00150439"/>
    <w:rsid w:val="00160311"/>
    <w:rsid w:val="00173385"/>
    <w:rsid w:val="00181B1A"/>
    <w:rsid w:val="00186BE8"/>
    <w:rsid w:val="001A28E6"/>
    <w:rsid w:val="001D4DA5"/>
    <w:rsid w:val="001F21CE"/>
    <w:rsid w:val="00211445"/>
    <w:rsid w:val="00220582"/>
    <w:rsid w:val="00226411"/>
    <w:rsid w:val="00246BD3"/>
    <w:rsid w:val="00252433"/>
    <w:rsid w:val="00254FD0"/>
    <w:rsid w:val="00255801"/>
    <w:rsid w:val="002625C6"/>
    <w:rsid w:val="00264B89"/>
    <w:rsid w:val="002672AC"/>
    <w:rsid w:val="00270805"/>
    <w:rsid w:val="0027157C"/>
    <w:rsid w:val="0027429C"/>
    <w:rsid w:val="00281F48"/>
    <w:rsid w:val="002823C2"/>
    <w:rsid w:val="002835D0"/>
    <w:rsid w:val="0029478B"/>
    <w:rsid w:val="00296ADD"/>
    <w:rsid w:val="002974E6"/>
    <w:rsid w:val="002A158C"/>
    <w:rsid w:val="002A4B2B"/>
    <w:rsid w:val="002A7147"/>
    <w:rsid w:val="002B089B"/>
    <w:rsid w:val="002B106E"/>
    <w:rsid w:val="002B22E2"/>
    <w:rsid w:val="002B3915"/>
    <w:rsid w:val="002B67AA"/>
    <w:rsid w:val="002C286A"/>
    <w:rsid w:val="002C4893"/>
    <w:rsid w:val="002C69ED"/>
    <w:rsid w:val="002D480D"/>
    <w:rsid w:val="002D6530"/>
    <w:rsid w:val="002E359B"/>
    <w:rsid w:val="002F5623"/>
    <w:rsid w:val="002F6586"/>
    <w:rsid w:val="002F7011"/>
    <w:rsid w:val="00304851"/>
    <w:rsid w:val="00304F37"/>
    <w:rsid w:val="003059C4"/>
    <w:rsid w:val="00306EB0"/>
    <w:rsid w:val="003137A2"/>
    <w:rsid w:val="00314265"/>
    <w:rsid w:val="0031517A"/>
    <w:rsid w:val="003163A7"/>
    <w:rsid w:val="00344ECB"/>
    <w:rsid w:val="003524EA"/>
    <w:rsid w:val="00362F43"/>
    <w:rsid w:val="00363C17"/>
    <w:rsid w:val="00364C58"/>
    <w:rsid w:val="00365E2B"/>
    <w:rsid w:val="00367DA3"/>
    <w:rsid w:val="00374164"/>
    <w:rsid w:val="00382E8C"/>
    <w:rsid w:val="00385D8B"/>
    <w:rsid w:val="003A1E0C"/>
    <w:rsid w:val="003B6E80"/>
    <w:rsid w:val="003C0369"/>
    <w:rsid w:val="003C3505"/>
    <w:rsid w:val="003C6695"/>
    <w:rsid w:val="003D03EA"/>
    <w:rsid w:val="003D43CE"/>
    <w:rsid w:val="003D5C75"/>
    <w:rsid w:val="003D6A87"/>
    <w:rsid w:val="003F778B"/>
    <w:rsid w:val="004021DB"/>
    <w:rsid w:val="004041B6"/>
    <w:rsid w:val="00416B5A"/>
    <w:rsid w:val="00426014"/>
    <w:rsid w:val="0042661C"/>
    <w:rsid w:val="00440939"/>
    <w:rsid w:val="00482702"/>
    <w:rsid w:val="00485FDF"/>
    <w:rsid w:val="00493B47"/>
    <w:rsid w:val="00496DA9"/>
    <w:rsid w:val="004A5927"/>
    <w:rsid w:val="004A5E1B"/>
    <w:rsid w:val="004B2FBF"/>
    <w:rsid w:val="004B4DBD"/>
    <w:rsid w:val="004C690B"/>
    <w:rsid w:val="004D0CF9"/>
    <w:rsid w:val="004D362A"/>
    <w:rsid w:val="004D4C90"/>
    <w:rsid w:val="004D4CE5"/>
    <w:rsid w:val="004E3262"/>
    <w:rsid w:val="004E409B"/>
    <w:rsid w:val="004E66B4"/>
    <w:rsid w:val="0050210F"/>
    <w:rsid w:val="00503A11"/>
    <w:rsid w:val="00504A49"/>
    <w:rsid w:val="00505EA5"/>
    <w:rsid w:val="00507784"/>
    <w:rsid w:val="00524151"/>
    <w:rsid w:val="005348C4"/>
    <w:rsid w:val="00550A2A"/>
    <w:rsid w:val="00565E68"/>
    <w:rsid w:val="00574443"/>
    <w:rsid w:val="005813CA"/>
    <w:rsid w:val="00592BD9"/>
    <w:rsid w:val="00593623"/>
    <w:rsid w:val="005962CB"/>
    <w:rsid w:val="005A7A26"/>
    <w:rsid w:val="005C1150"/>
    <w:rsid w:val="005C70D9"/>
    <w:rsid w:val="005C7876"/>
    <w:rsid w:val="005D0A86"/>
    <w:rsid w:val="005D6F34"/>
    <w:rsid w:val="005D7B13"/>
    <w:rsid w:val="005D7EDA"/>
    <w:rsid w:val="00610637"/>
    <w:rsid w:val="00624BF8"/>
    <w:rsid w:val="00627F45"/>
    <w:rsid w:val="00630A5F"/>
    <w:rsid w:val="00635D29"/>
    <w:rsid w:val="006503B3"/>
    <w:rsid w:val="00654201"/>
    <w:rsid w:val="006628BF"/>
    <w:rsid w:val="006677E0"/>
    <w:rsid w:val="00683471"/>
    <w:rsid w:val="00685535"/>
    <w:rsid w:val="006A1B83"/>
    <w:rsid w:val="006A569B"/>
    <w:rsid w:val="006E12D2"/>
    <w:rsid w:val="006E26C1"/>
    <w:rsid w:val="00711C20"/>
    <w:rsid w:val="007220C3"/>
    <w:rsid w:val="0072430D"/>
    <w:rsid w:val="0073792E"/>
    <w:rsid w:val="007434B3"/>
    <w:rsid w:val="00746E67"/>
    <w:rsid w:val="00750844"/>
    <w:rsid w:val="00752565"/>
    <w:rsid w:val="0076326B"/>
    <w:rsid w:val="007654CB"/>
    <w:rsid w:val="00770796"/>
    <w:rsid w:val="00777D8B"/>
    <w:rsid w:val="00781007"/>
    <w:rsid w:val="00783F4B"/>
    <w:rsid w:val="007845CF"/>
    <w:rsid w:val="00791BAB"/>
    <w:rsid w:val="00792C11"/>
    <w:rsid w:val="007A034D"/>
    <w:rsid w:val="007A4A9B"/>
    <w:rsid w:val="007B04CE"/>
    <w:rsid w:val="007B6219"/>
    <w:rsid w:val="007C04B2"/>
    <w:rsid w:val="007E656E"/>
    <w:rsid w:val="007F01DC"/>
    <w:rsid w:val="007F2C56"/>
    <w:rsid w:val="007F7D56"/>
    <w:rsid w:val="00805A2C"/>
    <w:rsid w:val="0080624D"/>
    <w:rsid w:val="008062AA"/>
    <w:rsid w:val="008122F9"/>
    <w:rsid w:val="008135C9"/>
    <w:rsid w:val="008250A2"/>
    <w:rsid w:val="0083393D"/>
    <w:rsid w:val="00840E84"/>
    <w:rsid w:val="008459C1"/>
    <w:rsid w:val="00846A14"/>
    <w:rsid w:val="008561CA"/>
    <w:rsid w:val="008635F4"/>
    <w:rsid w:val="00865E92"/>
    <w:rsid w:val="00866378"/>
    <w:rsid w:val="0086643A"/>
    <w:rsid w:val="00870CE5"/>
    <w:rsid w:val="00871A05"/>
    <w:rsid w:val="00890515"/>
    <w:rsid w:val="00892615"/>
    <w:rsid w:val="0089524F"/>
    <w:rsid w:val="008A4469"/>
    <w:rsid w:val="008B1005"/>
    <w:rsid w:val="008B3640"/>
    <w:rsid w:val="008C2686"/>
    <w:rsid w:val="008C58BD"/>
    <w:rsid w:val="008C5A5B"/>
    <w:rsid w:val="008D25F9"/>
    <w:rsid w:val="008D4570"/>
    <w:rsid w:val="008D7A5B"/>
    <w:rsid w:val="008E36FA"/>
    <w:rsid w:val="008E4071"/>
    <w:rsid w:val="008E6BB2"/>
    <w:rsid w:val="008E7826"/>
    <w:rsid w:val="008F6099"/>
    <w:rsid w:val="008F62D1"/>
    <w:rsid w:val="009054D6"/>
    <w:rsid w:val="00910E87"/>
    <w:rsid w:val="009117F1"/>
    <w:rsid w:val="00923EC2"/>
    <w:rsid w:val="00934E2B"/>
    <w:rsid w:val="00935517"/>
    <w:rsid w:val="00937906"/>
    <w:rsid w:val="00944012"/>
    <w:rsid w:val="00965CFA"/>
    <w:rsid w:val="00966375"/>
    <w:rsid w:val="009668E2"/>
    <w:rsid w:val="00970370"/>
    <w:rsid w:val="009806C1"/>
    <w:rsid w:val="00995DDC"/>
    <w:rsid w:val="009A6D9B"/>
    <w:rsid w:val="009B18CF"/>
    <w:rsid w:val="009E03F6"/>
    <w:rsid w:val="009E090C"/>
    <w:rsid w:val="009E5AFD"/>
    <w:rsid w:val="009E718A"/>
    <w:rsid w:val="009F124C"/>
    <w:rsid w:val="00A0001B"/>
    <w:rsid w:val="00A0351A"/>
    <w:rsid w:val="00A16AC4"/>
    <w:rsid w:val="00A23A36"/>
    <w:rsid w:val="00A26D67"/>
    <w:rsid w:val="00A31D74"/>
    <w:rsid w:val="00A47171"/>
    <w:rsid w:val="00A72363"/>
    <w:rsid w:val="00A861DB"/>
    <w:rsid w:val="00A95C96"/>
    <w:rsid w:val="00A961F1"/>
    <w:rsid w:val="00AA24C6"/>
    <w:rsid w:val="00AA307C"/>
    <w:rsid w:val="00AB30E7"/>
    <w:rsid w:val="00AC5468"/>
    <w:rsid w:val="00AD7717"/>
    <w:rsid w:val="00AE1DE5"/>
    <w:rsid w:val="00B07628"/>
    <w:rsid w:val="00B15C72"/>
    <w:rsid w:val="00B35551"/>
    <w:rsid w:val="00B5006B"/>
    <w:rsid w:val="00B54EE9"/>
    <w:rsid w:val="00B5692F"/>
    <w:rsid w:val="00B628C4"/>
    <w:rsid w:val="00B63577"/>
    <w:rsid w:val="00B728D0"/>
    <w:rsid w:val="00B921AA"/>
    <w:rsid w:val="00BA0069"/>
    <w:rsid w:val="00BA25B3"/>
    <w:rsid w:val="00BA6491"/>
    <w:rsid w:val="00BA6922"/>
    <w:rsid w:val="00BB140E"/>
    <w:rsid w:val="00BB27B6"/>
    <w:rsid w:val="00BB6137"/>
    <w:rsid w:val="00BC342A"/>
    <w:rsid w:val="00BC5260"/>
    <w:rsid w:val="00BD2530"/>
    <w:rsid w:val="00BD7390"/>
    <w:rsid w:val="00BD75A2"/>
    <w:rsid w:val="00BE0E99"/>
    <w:rsid w:val="00BE433A"/>
    <w:rsid w:val="00BE7224"/>
    <w:rsid w:val="00C24AD8"/>
    <w:rsid w:val="00C304FD"/>
    <w:rsid w:val="00C41650"/>
    <w:rsid w:val="00C43D70"/>
    <w:rsid w:val="00C45B88"/>
    <w:rsid w:val="00C60A5E"/>
    <w:rsid w:val="00C6154A"/>
    <w:rsid w:val="00C67039"/>
    <w:rsid w:val="00C701E1"/>
    <w:rsid w:val="00C75A32"/>
    <w:rsid w:val="00C8502C"/>
    <w:rsid w:val="00C92C8A"/>
    <w:rsid w:val="00CB05C4"/>
    <w:rsid w:val="00CB248D"/>
    <w:rsid w:val="00CB7C9A"/>
    <w:rsid w:val="00CC7531"/>
    <w:rsid w:val="00CD6A50"/>
    <w:rsid w:val="00CD7B86"/>
    <w:rsid w:val="00CE53C7"/>
    <w:rsid w:val="00CE61B2"/>
    <w:rsid w:val="00CE7E1B"/>
    <w:rsid w:val="00CF1756"/>
    <w:rsid w:val="00CF33B1"/>
    <w:rsid w:val="00CF6454"/>
    <w:rsid w:val="00D030E8"/>
    <w:rsid w:val="00D1079F"/>
    <w:rsid w:val="00D1270C"/>
    <w:rsid w:val="00D127E3"/>
    <w:rsid w:val="00D218A6"/>
    <w:rsid w:val="00D376A9"/>
    <w:rsid w:val="00D46CEE"/>
    <w:rsid w:val="00D476D5"/>
    <w:rsid w:val="00D507A1"/>
    <w:rsid w:val="00D50BA1"/>
    <w:rsid w:val="00D50C16"/>
    <w:rsid w:val="00D54872"/>
    <w:rsid w:val="00D55345"/>
    <w:rsid w:val="00D613E3"/>
    <w:rsid w:val="00D63263"/>
    <w:rsid w:val="00D71BDC"/>
    <w:rsid w:val="00D763E1"/>
    <w:rsid w:val="00D76E44"/>
    <w:rsid w:val="00D921FD"/>
    <w:rsid w:val="00D92830"/>
    <w:rsid w:val="00D92B8A"/>
    <w:rsid w:val="00D973F5"/>
    <w:rsid w:val="00DA248D"/>
    <w:rsid w:val="00DB7559"/>
    <w:rsid w:val="00DC5F58"/>
    <w:rsid w:val="00DD38A0"/>
    <w:rsid w:val="00DD39F7"/>
    <w:rsid w:val="00DE2185"/>
    <w:rsid w:val="00DE2AC5"/>
    <w:rsid w:val="00DE5F86"/>
    <w:rsid w:val="00DF0624"/>
    <w:rsid w:val="00DF3A42"/>
    <w:rsid w:val="00E02EFB"/>
    <w:rsid w:val="00E03746"/>
    <w:rsid w:val="00E06559"/>
    <w:rsid w:val="00E134AE"/>
    <w:rsid w:val="00E156EC"/>
    <w:rsid w:val="00E214D3"/>
    <w:rsid w:val="00E346A0"/>
    <w:rsid w:val="00E34E10"/>
    <w:rsid w:val="00E363E1"/>
    <w:rsid w:val="00E47A8B"/>
    <w:rsid w:val="00E513E3"/>
    <w:rsid w:val="00E660A7"/>
    <w:rsid w:val="00E7004F"/>
    <w:rsid w:val="00E703B4"/>
    <w:rsid w:val="00E704A2"/>
    <w:rsid w:val="00E71618"/>
    <w:rsid w:val="00E8580B"/>
    <w:rsid w:val="00E96B19"/>
    <w:rsid w:val="00EA6485"/>
    <w:rsid w:val="00EB2E75"/>
    <w:rsid w:val="00EB6553"/>
    <w:rsid w:val="00EB6FDC"/>
    <w:rsid w:val="00EC2B7E"/>
    <w:rsid w:val="00ED42CF"/>
    <w:rsid w:val="00ED53AD"/>
    <w:rsid w:val="00EF2CE0"/>
    <w:rsid w:val="00F05DE9"/>
    <w:rsid w:val="00F06783"/>
    <w:rsid w:val="00F110BD"/>
    <w:rsid w:val="00F21D83"/>
    <w:rsid w:val="00F3375E"/>
    <w:rsid w:val="00F3738B"/>
    <w:rsid w:val="00F40BB3"/>
    <w:rsid w:val="00F43CFF"/>
    <w:rsid w:val="00F455A1"/>
    <w:rsid w:val="00F62193"/>
    <w:rsid w:val="00F6334C"/>
    <w:rsid w:val="00F6335A"/>
    <w:rsid w:val="00F65524"/>
    <w:rsid w:val="00F70117"/>
    <w:rsid w:val="00F76AF3"/>
    <w:rsid w:val="00F82F64"/>
    <w:rsid w:val="00F86891"/>
    <w:rsid w:val="00F86CE6"/>
    <w:rsid w:val="00F86FB5"/>
    <w:rsid w:val="00F92F05"/>
    <w:rsid w:val="00F93163"/>
    <w:rsid w:val="00F93A94"/>
    <w:rsid w:val="00F93F6E"/>
    <w:rsid w:val="00FD2B3E"/>
    <w:rsid w:val="00FD73B8"/>
    <w:rsid w:val="00FE79EC"/>
    <w:rsid w:val="00FF3DB5"/>
    <w:rsid w:val="00FF551D"/>
    <w:rsid w:val="00FF6B89"/>
    <w:rsid w:val="00FF7335"/>
    <w:rsid w:val="011A69A9"/>
    <w:rsid w:val="01365C5A"/>
    <w:rsid w:val="01741E39"/>
    <w:rsid w:val="01D0721C"/>
    <w:rsid w:val="02142B92"/>
    <w:rsid w:val="02266698"/>
    <w:rsid w:val="02553A53"/>
    <w:rsid w:val="025B52E0"/>
    <w:rsid w:val="026712DF"/>
    <w:rsid w:val="027A1350"/>
    <w:rsid w:val="027D7599"/>
    <w:rsid w:val="02A178C5"/>
    <w:rsid w:val="02AE6409"/>
    <w:rsid w:val="02E15746"/>
    <w:rsid w:val="02FC0453"/>
    <w:rsid w:val="032F23FC"/>
    <w:rsid w:val="0348262F"/>
    <w:rsid w:val="0349031E"/>
    <w:rsid w:val="03523FF2"/>
    <w:rsid w:val="0362383F"/>
    <w:rsid w:val="036267EA"/>
    <w:rsid w:val="03913027"/>
    <w:rsid w:val="03924514"/>
    <w:rsid w:val="039E463B"/>
    <w:rsid w:val="03A210C6"/>
    <w:rsid w:val="03A539EA"/>
    <w:rsid w:val="03D31452"/>
    <w:rsid w:val="041C1C06"/>
    <w:rsid w:val="042D24E4"/>
    <w:rsid w:val="046D6BF2"/>
    <w:rsid w:val="048C6689"/>
    <w:rsid w:val="04A46DC4"/>
    <w:rsid w:val="04A855A6"/>
    <w:rsid w:val="04AA5E22"/>
    <w:rsid w:val="04AB3EBB"/>
    <w:rsid w:val="04D40E15"/>
    <w:rsid w:val="050E6000"/>
    <w:rsid w:val="05584A82"/>
    <w:rsid w:val="0559763A"/>
    <w:rsid w:val="058A073D"/>
    <w:rsid w:val="059C5CEB"/>
    <w:rsid w:val="05A90A51"/>
    <w:rsid w:val="05B71B58"/>
    <w:rsid w:val="05C93267"/>
    <w:rsid w:val="05CA1F8A"/>
    <w:rsid w:val="05CB56F8"/>
    <w:rsid w:val="05E75D9F"/>
    <w:rsid w:val="060F148D"/>
    <w:rsid w:val="061B712C"/>
    <w:rsid w:val="062A4AA1"/>
    <w:rsid w:val="0644204E"/>
    <w:rsid w:val="064F1151"/>
    <w:rsid w:val="065D2D14"/>
    <w:rsid w:val="0661477F"/>
    <w:rsid w:val="067C52D5"/>
    <w:rsid w:val="068460AC"/>
    <w:rsid w:val="068B5082"/>
    <w:rsid w:val="06AA5AFA"/>
    <w:rsid w:val="06AB1485"/>
    <w:rsid w:val="06E92D73"/>
    <w:rsid w:val="06EF051D"/>
    <w:rsid w:val="06F724DF"/>
    <w:rsid w:val="072A610B"/>
    <w:rsid w:val="07466485"/>
    <w:rsid w:val="074726CF"/>
    <w:rsid w:val="076A0DCD"/>
    <w:rsid w:val="07773355"/>
    <w:rsid w:val="07892DD7"/>
    <w:rsid w:val="079F3791"/>
    <w:rsid w:val="07A724E5"/>
    <w:rsid w:val="07A877C5"/>
    <w:rsid w:val="07E81BBD"/>
    <w:rsid w:val="07FC7E27"/>
    <w:rsid w:val="0814701C"/>
    <w:rsid w:val="082B6EFE"/>
    <w:rsid w:val="082F1827"/>
    <w:rsid w:val="084477B6"/>
    <w:rsid w:val="0853529F"/>
    <w:rsid w:val="08661843"/>
    <w:rsid w:val="087B01BC"/>
    <w:rsid w:val="088428C3"/>
    <w:rsid w:val="08A14115"/>
    <w:rsid w:val="08AB1E08"/>
    <w:rsid w:val="08AC154E"/>
    <w:rsid w:val="08AC47E2"/>
    <w:rsid w:val="08B20511"/>
    <w:rsid w:val="08BC55AD"/>
    <w:rsid w:val="08C85AAF"/>
    <w:rsid w:val="08C85E59"/>
    <w:rsid w:val="08CF6DAC"/>
    <w:rsid w:val="08E87AB7"/>
    <w:rsid w:val="08EA2650"/>
    <w:rsid w:val="08F32E58"/>
    <w:rsid w:val="08F85DF8"/>
    <w:rsid w:val="08FE27A8"/>
    <w:rsid w:val="090B4887"/>
    <w:rsid w:val="091D2B4D"/>
    <w:rsid w:val="09203954"/>
    <w:rsid w:val="09264C3B"/>
    <w:rsid w:val="092D5B8E"/>
    <w:rsid w:val="09417A91"/>
    <w:rsid w:val="09714577"/>
    <w:rsid w:val="098319E2"/>
    <w:rsid w:val="099F2C1E"/>
    <w:rsid w:val="09A35A07"/>
    <w:rsid w:val="09A55801"/>
    <w:rsid w:val="09C27BB5"/>
    <w:rsid w:val="09DA60EE"/>
    <w:rsid w:val="09EC16F0"/>
    <w:rsid w:val="0A1C5480"/>
    <w:rsid w:val="0A381A75"/>
    <w:rsid w:val="0A3C71ED"/>
    <w:rsid w:val="0A506F98"/>
    <w:rsid w:val="0A523822"/>
    <w:rsid w:val="0ADE4913"/>
    <w:rsid w:val="0ADF3CCC"/>
    <w:rsid w:val="0AF969C5"/>
    <w:rsid w:val="0B465532"/>
    <w:rsid w:val="0B550160"/>
    <w:rsid w:val="0B5E13B2"/>
    <w:rsid w:val="0B7A5462"/>
    <w:rsid w:val="0BCE5BD3"/>
    <w:rsid w:val="0BD76A11"/>
    <w:rsid w:val="0BE62951"/>
    <w:rsid w:val="0BEE138C"/>
    <w:rsid w:val="0C047766"/>
    <w:rsid w:val="0C132D09"/>
    <w:rsid w:val="0C1C15C4"/>
    <w:rsid w:val="0C3D5E84"/>
    <w:rsid w:val="0C3E6FEE"/>
    <w:rsid w:val="0C5641BD"/>
    <w:rsid w:val="0C5C685F"/>
    <w:rsid w:val="0C8927F6"/>
    <w:rsid w:val="0C9429E8"/>
    <w:rsid w:val="0C9B65C9"/>
    <w:rsid w:val="0CA35A93"/>
    <w:rsid w:val="0CBB5826"/>
    <w:rsid w:val="0CC62A50"/>
    <w:rsid w:val="0CDE1386"/>
    <w:rsid w:val="0D1733FE"/>
    <w:rsid w:val="0D310A35"/>
    <w:rsid w:val="0D4B7545"/>
    <w:rsid w:val="0D5E2C06"/>
    <w:rsid w:val="0D9751CB"/>
    <w:rsid w:val="0DC50C73"/>
    <w:rsid w:val="0DC76937"/>
    <w:rsid w:val="0DD2597D"/>
    <w:rsid w:val="0DE025A6"/>
    <w:rsid w:val="0E0B02D2"/>
    <w:rsid w:val="0E107AD5"/>
    <w:rsid w:val="0E146CFB"/>
    <w:rsid w:val="0E450DF7"/>
    <w:rsid w:val="0E4D432B"/>
    <w:rsid w:val="0E522BBE"/>
    <w:rsid w:val="0E5928AD"/>
    <w:rsid w:val="0E5F5D86"/>
    <w:rsid w:val="0E626EAE"/>
    <w:rsid w:val="0E9B6E95"/>
    <w:rsid w:val="0EB51BA6"/>
    <w:rsid w:val="0EB833E8"/>
    <w:rsid w:val="0ED96468"/>
    <w:rsid w:val="0EEB58C6"/>
    <w:rsid w:val="0EEE23C1"/>
    <w:rsid w:val="0EF01C2E"/>
    <w:rsid w:val="0EF40EAA"/>
    <w:rsid w:val="0F1B4B26"/>
    <w:rsid w:val="0F3F1C90"/>
    <w:rsid w:val="0F43103F"/>
    <w:rsid w:val="0F59756F"/>
    <w:rsid w:val="0F6A4708"/>
    <w:rsid w:val="0F85524A"/>
    <w:rsid w:val="0F9418F5"/>
    <w:rsid w:val="0F9916E6"/>
    <w:rsid w:val="0FB32491"/>
    <w:rsid w:val="0FDB6208"/>
    <w:rsid w:val="0FE260BE"/>
    <w:rsid w:val="0FEE307E"/>
    <w:rsid w:val="100320AF"/>
    <w:rsid w:val="102024AD"/>
    <w:rsid w:val="102F2948"/>
    <w:rsid w:val="103D2CA9"/>
    <w:rsid w:val="104C3535"/>
    <w:rsid w:val="105925BF"/>
    <w:rsid w:val="105C0B9B"/>
    <w:rsid w:val="107323EF"/>
    <w:rsid w:val="10B340AC"/>
    <w:rsid w:val="10C63C89"/>
    <w:rsid w:val="11242268"/>
    <w:rsid w:val="115122A1"/>
    <w:rsid w:val="115F5157"/>
    <w:rsid w:val="11690DCE"/>
    <w:rsid w:val="118862FD"/>
    <w:rsid w:val="118C60FC"/>
    <w:rsid w:val="119860A2"/>
    <w:rsid w:val="11A27FA0"/>
    <w:rsid w:val="11A31FF8"/>
    <w:rsid w:val="11BA5D39"/>
    <w:rsid w:val="11C33831"/>
    <w:rsid w:val="11FD79F3"/>
    <w:rsid w:val="12034A38"/>
    <w:rsid w:val="121122B4"/>
    <w:rsid w:val="12190245"/>
    <w:rsid w:val="1235220E"/>
    <w:rsid w:val="125C1586"/>
    <w:rsid w:val="125F0ACE"/>
    <w:rsid w:val="126C0490"/>
    <w:rsid w:val="12992169"/>
    <w:rsid w:val="12A91DCC"/>
    <w:rsid w:val="12BF214C"/>
    <w:rsid w:val="12CF5FDD"/>
    <w:rsid w:val="12DA1A7B"/>
    <w:rsid w:val="12EA172F"/>
    <w:rsid w:val="13130C3B"/>
    <w:rsid w:val="132D1E82"/>
    <w:rsid w:val="133F0C4E"/>
    <w:rsid w:val="13461DBB"/>
    <w:rsid w:val="13485ACF"/>
    <w:rsid w:val="13525380"/>
    <w:rsid w:val="13A81038"/>
    <w:rsid w:val="13AD3866"/>
    <w:rsid w:val="13C15AAF"/>
    <w:rsid w:val="13D9560A"/>
    <w:rsid w:val="14167510"/>
    <w:rsid w:val="143226E9"/>
    <w:rsid w:val="144D62E5"/>
    <w:rsid w:val="145219D7"/>
    <w:rsid w:val="14525F22"/>
    <w:rsid w:val="145444F0"/>
    <w:rsid w:val="147C12C2"/>
    <w:rsid w:val="14A64AA4"/>
    <w:rsid w:val="14E27AA4"/>
    <w:rsid w:val="14F254EC"/>
    <w:rsid w:val="150D386F"/>
    <w:rsid w:val="151926B1"/>
    <w:rsid w:val="151F2153"/>
    <w:rsid w:val="152778F2"/>
    <w:rsid w:val="153D377D"/>
    <w:rsid w:val="15446F0F"/>
    <w:rsid w:val="155E254A"/>
    <w:rsid w:val="157302D3"/>
    <w:rsid w:val="15913186"/>
    <w:rsid w:val="15947BC6"/>
    <w:rsid w:val="15B14AD6"/>
    <w:rsid w:val="15B36EF6"/>
    <w:rsid w:val="15B46C8F"/>
    <w:rsid w:val="15CC0BE8"/>
    <w:rsid w:val="15CC2CC3"/>
    <w:rsid w:val="15DA0867"/>
    <w:rsid w:val="15F4512F"/>
    <w:rsid w:val="1621168A"/>
    <w:rsid w:val="162915FB"/>
    <w:rsid w:val="16880D2F"/>
    <w:rsid w:val="16A22188"/>
    <w:rsid w:val="16F11D60"/>
    <w:rsid w:val="171837A2"/>
    <w:rsid w:val="171E015C"/>
    <w:rsid w:val="174331BE"/>
    <w:rsid w:val="174B1947"/>
    <w:rsid w:val="17577D19"/>
    <w:rsid w:val="17631495"/>
    <w:rsid w:val="17BE0723"/>
    <w:rsid w:val="17C62D5A"/>
    <w:rsid w:val="17E47242"/>
    <w:rsid w:val="17F25C10"/>
    <w:rsid w:val="18576854"/>
    <w:rsid w:val="186B4EDF"/>
    <w:rsid w:val="18734C13"/>
    <w:rsid w:val="188C58A1"/>
    <w:rsid w:val="18967729"/>
    <w:rsid w:val="18B6688F"/>
    <w:rsid w:val="18BF160F"/>
    <w:rsid w:val="18CA5112"/>
    <w:rsid w:val="18CF338C"/>
    <w:rsid w:val="18DA4E9E"/>
    <w:rsid w:val="18E37FF6"/>
    <w:rsid w:val="18E538EF"/>
    <w:rsid w:val="190C13F0"/>
    <w:rsid w:val="19146D13"/>
    <w:rsid w:val="191B1DBF"/>
    <w:rsid w:val="194235EB"/>
    <w:rsid w:val="194F32EA"/>
    <w:rsid w:val="194F79EA"/>
    <w:rsid w:val="196824FA"/>
    <w:rsid w:val="1997704E"/>
    <w:rsid w:val="19BD4903"/>
    <w:rsid w:val="19BE41CA"/>
    <w:rsid w:val="19C76396"/>
    <w:rsid w:val="19D562E2"/>
    <w:rsid w:val="19EC7A02"/>
    <w:rsid w:val="19FF003E"/>
    <w:rsid w:val="1A0728E2"/>
    <w:rsid w:val="1A124328"/>
    <w:rsid w:val="1A235A9E"/>
    <w:rsid w:val="1A441428"/>
    <w:rsid w:val="1A596752"/>
    <w:rsid w:val="1A651BA9"/>
    <w:rsid w:val="1A847A94"/>
    <w:rsid w:val="1A921B16"/>
    <w:rsid w:val="1A924746"/>
    <w:rsid w:val="1A9955D3"/>
    <w:rsid w:val="1A9D4B2C"/>
    <w:rsid w:val="1ABC7D4B"/>
    <w:rsid w:val="1ACD3C0E"/>
    <w:rsid w:val="1ACF33BE"/>
    <w:rsid w:val="1AF37FA9"/>
    <w:rsid w:val="1AF7454C"/>
    <w:rsid w:val="1B0C7C49"/>
    <w:rsid w:val="1B0D168D"/>
    <w:rsid w:val="1B1C048B"/>
    <w:rsid w:val="1B264E1E"/>
    <w:rsid w:val="1B49253D"/>
    <w:rsid w:val="1B60781F"/>
    <w:rsid w:val="1B8803FC"/>
    <w:rsid w:val="1BA22E4B"/>
    <w:rsid w:val="1BB26C5B"/>
    <w:rsid w:val="1BD5502E"/>
    <w:rsid w:val="1BF3533E"/>
    <w:rsid w:val="1C070BBB"/>
    <w:rsid w:val="1C3337F6"/>
    <w:rsid w:val="1C3D43D4"/>
    <w:rsid w:val="1C5A6D5A"/>
    <w:rsid w:val="1C833DA7"/>
    <w:rsid w:val="1CA129A0"/>
    <w:rsid w:val="1CAA798D"/>
    <w:rsid w:val="1CAC4C9A"/>
    <w:rsid w:val="1CD64878"/>
    <w:rsid w:val="1CDD7DE6"/>
    <w:rsid w:val="1CE32300"/>
    <w:rsid w:val="1D015A17"/>
    <w:rsid w:val="1D2A283F"/>
    <w:rsid w:val="1D507E68"/>
    <w:rsid w:val="1D7E7C82"/>
    <w:rsid w:val="1DA8444C"/>
    <w:rsid w:val="1DD72A7C"/>
    <w:rsid w:val="1DDD76F7"/>
    <w:rsid w:val="1DE77BD3"/>
    <w:rsid w:val="1DFC7271"/>
    <w:rsid w:val="1E4D19CA"/>
    <w:rsid w:val="1E5C1A8D"/>
    <w:rsid w:val="1E631A09"/>
    <w:rsid w:val="1E65246C"/>
    <w:rsid w:val="1E6909B3"/>
    <w:rsid w:val="1E695753"/>
    <w:rsid w:val="1E7D32D9"/>
    <w:rsid w:val="1E936F8E"/>
    <w:rsid w:val="1EC023AD"/>
    <w:rsid w:val="1EC34DF9"/>
    <w:rsid w:val="1EC671D7"/>
    <w:rsid w:val="1ECB3817"/>
    <w:rsid w:val="1ECB416B"/>
    <w:rsid w:val="1EDA1A58"/>
    <w:rsid w:val="1F161FBF"/>
    <w:rsid w:val="1F287341"/>
    <w:rsid w:val="1F3309D7"/>
    <w:rsid w:val="1F5366CC"/>
    <w:rsid w:val="1F645CB7"/>
    <w:rsid w:val="1F6B4954"/>
    <w:rsid w:val="1F8E0606"/>
    <w:rsid w:val="1FAB7C38"/>
    <w:rsid w:val="1FBC252F"/>
    <w:rsid w:val="1FCA7113"/>
    <w:rsid w:val="20240CE8"/>
    <w:rsid w:val="20555293"/>
    <w:rsid w:val="20564E11"/>
    <w:rsid w:val="20633354"/>
    <w:rsid w:val="208A3239"/>
    <w:rsid w:val="208D16A3"/>
    <w:rsid w:val="20C63496"/>
    <w:rsid w:val="20D33802"/>
    <w:rsid w:val="20D44A5E"/>
    <w:rsid w:val="20D96CBD"/>
    <w:rsid w:val="20DE5ABD"/>
    <w:rsid w:val="20F620FA"/>
    <w:rsid w:val="20F77931"/>
    <w:rsid w:val="210769EE"/>
    <w:rsid w:val="211C6CD7"/>
    <w:rsid w:val="212E32AE"/>
    <w:rsid w:val="21391E1A"/>
    <w:rsid w:val="213D53EE"/>
    <w:rsid w:val="213F0A6B"/>
    <w:rsid w:val="21477390"/>
    <w:rsid w:val="215D3993"/>
    <w:rsid w:val="218A5EE4"/>
    <w:rsid w:val="219200F0"/>
    <w:rsid w:val="2193367D"/>
    <w:rsid w:val="21A12A3B"/>
    <w:rsid w:val="21C2662E"/>
    <w:rsid w:val="21C33044"/>
    <w:rsid w:val="21D97578"/>
    <w:rsid w:val="21DD1BAA"/>
    <w:rsid w:val="21E940AC"/>
    <w:rsid w:val="21F16977"/>
    <w:rsid w:val="220C23A3"/>
    <w:rsid w:val="22AE414C"/>
    <w:rsid w:val="22B92BC5"/>
    <w:rsid w:val="22F71CAB"/>
    <w:rsid w:val="230C392D"/>
    <w:rsid w:val="23433B84"/>
    <w:rsid w:val="2347580E"/>
    <w:rsid w:val="236D7E31"/>
    <w:rsid w:val="237A6123"/>
    <w:rsid w:val="237C2772"/>
    <w:rsid w:val="23851DC3"/>
    <w:rsid w:val="23896DA6"/>
    <w:rsid w:val="239F3E62"/>
    <w:rsid w:val="23AE35EA"/>
    <w:rsid w:val="23CA5036"/>
    <w:rsid w:val="23E41D90"/>
    <w:rsid w:val="23F22957"/>
    <w:rsid w:val="23FB55C8"/>
    <w:rsid w:val="24093950"/>
    <w:rsid w:val="24283FB7"/>
    <w:rsid w:val="243D2438"/>
    <w:rsid w:val="24613A32"/>
    <w:rsid w:val="248439BF"/>
    <w:rsid w:val="251143C5"/>
    <w:rsid w:val="2518168C"/>
    <w:rsid w:val="25B32159"/>
    <w:rsid w:val="25B42C9C"/>
    <w:rsid w:val="26076F3F"/>
    <w:rsid w:val="26441218"/>
    <w:rsid w:val="26495F5C"/>
    <w:rsid w:val="264A5F06"/>
    <w:rsid w:val="265E6640"/>
    <w:rsid w:val="26671174"/>
    <w:rsid w:val="26872DD7"/>
    <w:rsid w:val="268A14BC"/>
    <w:rsid w:val="269023FA"/>
    <w:rsid w:val="2691792B"/>
    <w:rsid w:val="26BF6552"/>
    <w:rsid w:val="26E068D4"/>
    <w:rsid w:val="27084A8F"/>
    <w:rsid w:val="272E71C2"/>
    <w:rsid w:val="274F2D21"/>
    <w:rsid w:val="275611A3"/>
    <w:rsid w:val="276117C6"/>
    <w:rsid w:val="276E6133"/>
    <w:rsid w:val="276F5F2C"/>
    <w:rsid w:val="278240CA"/>
    <w:rsid w:val="279E6786"/>
    <w:rsid w:val="27A13718"/>
    <w:rsid w:val="27A62507"/>
    <w:rsid w:val="27BA12A7"/>
    <w:rsid w:val="27C756EA"/>
    <w:rsid w:val="27CF2982"/>
    <w:rsid w:val="27E56D7A"/>
    <w:rsid w:val="2822570E"/>
    <w:rsid w:val="282A786A"/>
    <w:rsid w:val="282B59D2"/>
    <w:rsid w:val="283A7D2C"/>
    <w:rsid w:val="283B59C3"/>
    <w:rsid w:val="283D0DA6"/>
    <w:rsid w:val="285802F1"/>
    <w:rsid w:val="285F552C"/>
    <w:rsid w:val="2872158C"/>
    <w:rsid w:val="28741E0B"/>
    <w:rsid w:val="28987521"/>
    <w:rsid w:val="28A36296"/>
    <w:rsid w:val="28DF0DB2"/>
    <w:rsid w:val="28E54199"/>
    <w:rsid w:val="2914505D"/>
    <w:rsid w:val="29447489"/>
    <w:rsid w:val="2967794E"/>
    <w:rsid w:val="29774D28"/>
    <w:rsid w:val="297A64CF"/>
    <w:rsid w:val="298F579D"/>
    <w:rsid w:val="29927A38"/>
    <w:rsid w:val="299F0980"/>
    <w:rsid w:val="29AA115B"/>
    <w:rsid w:val="2A174FDF"/>
    <w:rsid w:val="2A1A3543"/>
    <w:rsid w:val="2A274B52"/>
    <w:rsid w:val="2A2E493E"/>
    <w:rsid w:val="2A6508F8"/>
    <w:rsid w:val="2A7E4DD9"/>
    <w:rsid w:val="2AA4685B"/>
    <w:rsid w:val="2B445619"/>
    <w:rsid w:val="2B7112B4"/>
    <w:rsid w:val="2BC71730"/>
    <w:rsid w:val="2BCF3657"/>
    <w:rsid w:val="2BE05B82"/>
    <w:rsid w:val="2BEF01CB"/>
    <w:rsid w:val="2BF93E9E"/>
    <w:rsid w:val="2BFF6D51"/>
    <w:rsid w:val="2C053EBA"/>
    <w:rsid w:val="2C5C1955"/>
    <w:rsid w:val="2C7E565A"/>
    <w:rsid w:val="2C9949EC"/>
    <w:rsid w:val="2CA574B6"/>
    <w:rsid w:val="2CAD521C"/>
    <w:rsid w:val="2CBD424D"/>
    <w:rsid w:val="2CC67354"/>
    <w:rsid w:val="2CD659C4"/>
    <w:rsid w:val="2CE66077"/>
    <w:rsid w:val="2CF32F9F"/>
    <w:rsid w:val="2D065D7B"/>
    <w:rsid w:val="2D0B185A"/>
    <w:rsid w:val="2D1470F2"/>
    <w:rsid w:val="2D182665"/>
    <w:rsid w:val="2D240941"/>
    <w:rsid w:val="2D36737D"/>
    <w:rsid w:val="2D4D1A69"/>
    <w:rsid w:val="2D822E8E"/>
    <w:rsid w:val="2D920EE6"/>
    <w:rsid w:val="2DD3613A"/>
    <w:rsid w:val="2DE01230"/>
    <w:rsid w:val="2DE4799F"/>
    <w:rsid w:val="2DF9086B"/>
    <w:rsid w:val="2E0A0F8F"/>
    <w:rsid w:val="2E145FC3"/>
    <w:rsid w:val="2E29506D"/>
    <w:rsid w:val="2E6149FC"/>
    <w:rsid w:val="2E7035FB"/>
    <w:rsid w:val="2E8E1AD8"/>
    <w:rsid w:val="2EB564B0"/>
    <w:rsid w:val="2EBE7836"/>
    <w:rsid w:val="2EE14D4D"/>
    <w:rsid w:val="2EE41B8A"/>
    <w:rsid w:val="2EF9667D"/>
    <w:rsid w:val="2F366240"/>
    <w:rsid w:val="2F553BBD"/>
    <w:rsid w:val="2F5728B6"/>
    <w:rsid w:val="2F6D5D7A"/>
    <w:rsid w:val="2F797AC1"/>
    <w:rsid w:val="2F7C4F26"/>
    <w:rsid w:val="2F88497C"/>
    <w:rsid w:val="2F9738B0"/>
    <w:rsid w:val="2FA97077"/>
    <w:rsid w:val="2FB34347"/>
    <w:rsid w:val="2FCC469E"/>
    <w:rsid w:val="2FCC6970"/>
    <w:rsid w:val="2FDB3E67"/>
    <w:rsid w:val="2FE06B89"/>
    <w:rsid w:val="2FFB4F6D"/>
    <w:rsid w:val="302B34AD"/>
    <w:rsid w:val="30B87693"/>
    <w:rsid w:val="30C711F0"/>
    <w:rsid w:val="30EE0767"/>
    <w:rsid w:val="30FB213C"/>
    <w:rsid w:val="30FB3E1A"/>
    <w:rsid w:val="30FB579E"/>
    <w:rsid w:val="31137856"/>
    <w:rsid w:val="31553A69"/>
    <w:rsid w:val="315C58BF"/>
    <w:rsid w:val="31881099"/>
    <w:rsid w:val="318E4E10"/>
    <w:rsid w:val="319502DA"/>
    <w:rsid w:val="319A0C52"/>
    <w:rsid w:val="31AB2050"/>
    <w:rsid w:val="31F30DD0"/>
    <w:rsid w:val="320420A8"/>
    <w:rsid w:val="320C6B4F"/>
    <w:rsid w:val="320D71D8"/>
    <w:rsid w:val="321E4C6E"/>
    <w:rsid w:val="3235433D"/>
    <w:rsid w:val="326826BA"/>
    <w:rsid w:val="326F7D45"/>
    <w:rsid w:val="328010AA"/>
    <w:rsid w:val="32846E07"/>
    <w:rsid w:val="32BC78A7"/>
    <w:rsid w:val="32D14EBD"/>
    <w:rsid w:val="32D21C50"/>
    <w:rsid w:val="32D34F45"/>
    <w:rsid w:val="32DE1F9F"/>
    <w:rsid w:val="33006831"/>
    <w:rsid w:val="33294D60"/>
    <w:rsid w:val="33353826"/>
    <w:rsid w:val="33432834"/>
    <w:rsid w:val="3379294C"/>
    <w:rsid w:val="337C51BF"/>
    <w:rsid w:val="33861664"/>
    <w:rsid w:val="33BC72B7"/>
    <w:rsid w:val="33C71138"/>
    <w:rsid w:val="33E61362"/>
    <w:rsid w:val="342C72E2"/>
    <w:rsid w:val="34354403"/>
    <w:rsid w:val="345036A3"/>
    <w:rsid w:val="34622F30"/>
    <w:rsid w:val="34661865"/>
    <w:rsid w:val="3467669B"/>
    <w:rsid w:val="347C412C"/>
    <w:rsid w:val="34994188"/>
    <w:rsid w:val="3507262D"/>
    <w:rsid w:val="350848E3"/>
    <w:rsid w:val="35271CC7"/>
    <w:rsid w:val="352C3E34"/>
    <w:rsid w:val="35E83E0A"/>
    <w:rsid w:val="35EB5F28"/>
    <w:rsid w:val="35EC0CDA"/>
    <w:rsid w:val="360860B6"/>
    <w:rsid w:val="36231E55"/>
    <w:rsid w:val="362F2722"/>
    <w:rsid w:val="36316C7C"/>
    <w:rsid w:val="36363ED8"/>
    <w:rsid w:val="36703A01"/>
    <w:rsid w:val="367500B6"/>
    <w:rsid w:val="368724D7"/>
    <w:rsid w:val="3692653B"/>
    <w:rsid w:val="3695649D"/>
    <w:rsid w:val="36AF4024"/>
    <w:rsid w:val="36AF7E6D"/>
    <w:rsid w:val="36E35C35"/>
    <w:rsid w:val="37400391"/>
    <w:rsid w:val="374E486D"/>
    <w:rsid w:val="3777781E"/>
    <w:rsid w:val="379F819D"/>
    <w:rsid w:val="37A16125"/>
    <w:rsid w:val="37B66FB2"/>
    <w:rsid w:val="37CA0EBE"/>
    <w:rsid w:val="37CE2B9F"/>
    <w:rsid w:val="37D027D3"/>
    <w:rsid w:val="37F72519"/>
    <w:rsid w:val="37FE36B2"/>
    <w:rsid w:val="37FF720F"/>
    <w:rsid w:val="38180B4E"/>
    <w:rsid w:val="38291203"/>
    <w:rsid w:val="382924DD"/>
    <w:rsid w:val="38501031"/>
    <w:rsid w:val="385A552F"/>
    <w:rsid w:val="387F4DAC"/>
    <w:rsid w:val="388B6100"/>
    <w:rsid w:val="38B96061"/>
    <w:rsid w:val="38BC2439"/>
    <w:rsid w:val="38D04F71"/>
    <w:rsid w:val="38D4278A"/>
    <w:rsid w:val="392A6906"/>
    <w:rsid w:val="39685583"/>
    <w:rsid w:val="39F65CD1"/>
    <w:rsid w:val="3A1E0FDE"/>
    <w:rsid w:val="3A220905"/>
    <w:rsid w:val="3A6E3D18"/>
    <w:rsid w:val="3A8575BA"/>
    <w:rsid w:val="3A9376ED"/>
    <w:rsid w:val="3A9972DC"/>
    <w:rsid w:val="3ABE00CB"/>
    <w:rsid w:val="3ABF17F5"/>
    <w:rsid w:val="3AC91DCB"/>
    <w:rsid w:val="3ACB4314"/>
    <w:rsid w:val="3ADC7301"/>
    <w:rsid w:val="3AF52DD7"/>
    <w:rsid w:val="3B130672"/>
    <w:rsid w:val="3B273EA8"/>
    <w:rsid w:val="3B2918C1"/>
    <w:rsid w:val="3B2E2955"/>
    <w:rsid w:val="3B3871B7"/>
    <w:rsid w:val="3B423CCE"/>
    <w:rsid w:val="3B5C7F86"/>
    <w:rsid w:val="3B5D6068"/>
    <w:rsid w:val="3B781D23"/>
    <w:rsid w:val="3B7D77E1"/>
    <w:rsid w:val="3BB065F2"/>
    <w:rsid w:val="3BBF5FB2"/>
    <w:rsid w:val="3BC81A7C"/>
    <w:rsid w:val="3BCB0835"/>
    <w:rsid w:val="3BCF1D96"/>
    <w:rsid w:val="3BD132DC"/>
    <w:rsid w:val="3BD62E2C"/>
    <w:rsid w:val="3BE22982"/>
    <w:rsid w:val="3BEF517C"/>
    <w:rsid w:val="3BF92C3D"/>
    <w:rsid w:val="3C13408E"/>
    <w:rsid w:val="3C1B5CF4"/>
    <w:rsid w:val="3C1F3252"/>
    <w:rsid w:val="3C362F39"/>
    <w:rsid w:val="3C402519"/>
    <w:rsid w:val="3C4C10EF"/>
    <w:rsid w:val="3C572C6F"/>
    <w:rsid w:val="3C613245"/>
    <w:rsid w:val="3C853703"/>
    <w:rsid w:val="3C922A41"/>
    <w:rsid w:val="3C9A6B4B"/>
    <w:rsid w:val="3CAD5D53"/>
    <w:rsid w:val="3CAF4F9A"/>
    <w:rsid w:val="3CC526F6"/>
    <w:rsid w:val="3CD46670"/>
    <w:rsid w:val="3CF83D12"/>
    <w:rsid w:val="3D044C24"/>
    <w:rsid w:val="3D0C30EA"/>
    <w:rsid w:val="3D267E49"/>
    <w:rsid w:val="3D4B588C"/>
    <w:rsid w:val="3D6B5C8F"/>
    <w:rsid w:val="3D832689"/>
    <w:rsid w:val="3D8976E0"/>
    <w:rsid w:val="3D903B83"/>
    <w:rsid w:val="3DC2371B"/>
    <w:rsid w:val="3DC31394"/>
    <w:rsid w:val="3DFE14CF"/>
    <w:rsid w:val="3E1671AE"/>
    <w:rsid w:val="3E242F5A"/>
    <w:rsid w:val="3E9F2940"/>
    <w:rsid w:val="3EE40155"/>
    <w:rsid w:val="3EFEE508"/>
    <w:rsid w:val="3F024DDD"/>
    <w:rsid w:val="3F2F73B8"/>
    <w:rsid w:val="3F345101"/>
    <w:rsid w:val="3F362719"/>
    <w:rsid w:val="3F3C5C10"/>
    <w:rsid w:val="3F482F12"/>
    <w:rsid w:val="3F5204F7"/>
    <w:rsid w:val="3F607514"/>
    <w:rsid w:val="3F626F53"/>
    <w:rsid w:val="3F7037D6"/>
    <w:rsid w:val="3F9427AE"/>
    <w:rsid w:val="3FA838B2"/>
    <w:rsid w:val="3FB147DC"/>
    <w:rsid w:val="3FBF6020"/>
    <w:rsid w:val="3FD90687"/>
    <w:rsid w:val="3FF126A9"/>
    <w:rsid w:val="3FFA2951"/>
    <w:rsid w:val="40253D39"/>
    <w:rsid w:val="403009EB"/>
    <w:rsid w:val="40366CA1"/>
    <w:rsid w:val="40457526"/>
    <w:rsid w:val="40461B48"/>
    <w:rsid w:val="405C22C3"/>
    <w:rsid w:val="409E31EB"/>
    <w:rsid w:val="40A2016A"/>
    <w:rsid w:val="40B43ECF"/>
    <w:rsid w:val="40B6549A"/>
    <w:rsid w:val="40DD55A6"/>
    <w:rsid w:val="40F47236"/>
    <w:rsid w:val="41230225"/>
    <w:rsid w:val="413D3F2C"/>
    <w:rsid w:val="413F5F31"/>
    <w:rsid w:val="4141279F"/>
    <w:rsid w:val="41417D8D"/>
    <w:rsid w:val="414210F8"/>
    <w:rsid w:val="414B7A05"/>
    <w:rsid w:val="4158278C"/>
    <w:rsid w:val="415929E9"/>
    <w:rsid w:val="416D4932"/>
    <w:rsid w:val="418D5400"/>
    <w:rsid w:val="41936C3E"/>
    <w:rsid w:val="41B15932"/>
    <w:rsid w:val="422B615F"/>
    <w:rsid w:val="424E72A1"/>
    <w:rsid w:val="427E65FB"/>
    <w:rsid w:val="4299106E"/>
    <w:rsid w:val="42A833B1"/>
    <w:rsid w:val="42AB61E5"/>
    <w:rsid w:val="42D95C66"/>
    <w:rsid w:val="42DB5726"/>
    <w:rsid w:val="42DF065D"/>
    <w:rsid w:val="42E92C3D"/>
    <w:rsid w:val="42EB0C71"/>
    <w:rsid w:val="430E6CD1"/>
    <w:rsid w:val="43243105"/>
    <w:rsid w:val="433767B8"/>
    <w:rsid w:val="433E238F"/>
    <w:rsid w:val="43651A1B"/>
    <w:rsid w:val="436A0778"/>
    <w:rsid w:val="43B44029"/>
    <w:rsid w:val="43C62198"/>
    <w:rsid w:val="43DB4543"/>
    <w:rsid w:val="43E105D7"/>
    <w:rsid w:val="43EE73DC"/>
    <w:rsid w:val="44020E4B"/>
    <w:rsid w:val="44196696"/>
    <w:rsid w:val="44262384"/>
    <w:rsid w:val="442A42A5"/>
    <w:rsid w:val="445116F6"/>
    <w:rsid w:val="4456605C"/>
    <w:rsid w:val="446371B4"/>
    <w:rsid w:val="44937C12"/>
    <w:rsid w:val="44B00CE8"/>
    <w:rsid w:val="44FD0E7F"/>
    <w:rsid w:val="45124CBE"/>
    <w:rsid w:val="45365FFF"/>
    <w:rsid w:val="453B40D2"/>
    <w:rsid w:val="45501D9D"/>
    <w:rsid w:val="456B79CD"/>
    <w:rsid w:val="45A11153"/>
    <w:rsid w:val="45BD38FC"/>
    <w:rsid w:val="45D14E5C"/>
    <w:rsid w:val="45D80E74"/>
    <w:rsid w:val="45DB43DE"/>
    <w:rsid w:val="45DC17EC"/>
    <w:rsid w:val="45F02847"/>
    <w:rsid w:val="45F200A0"/>
    <w:rsid w:val="46092AF5"/>
    <w:rsid w:val="46141664"/>
    <w:rsid w:val="46237CCF"/>
    <w:rsid w:val="46286C05"/>
    <w:rsid w:val="46375CF4"/>
    <w:rsid w:val="463E66BC"/>
    <w:rsid w:val="46414A85"/>
    <w:rsid w:val="464A51B3"/>
    <w:rsid w:val="46583A03"/>
    <w:rsid w:val="4666145F"/>
    <w:rsid w:val="4675695D"/>
    <w:rsid w:val="467FDBA1"/>
    <w:rsid w:val="46A17083"/>
    <w:rsid w:val="46B87A38"/>
    <w:rsid w:val="46EFE076"/>
    <w:rsid w:val="47096CF1"/>
    <w:rsid w:val="471C531F"/>
    <w:rsid w:val="472925A6"/>
    <w:rsid w:val="474609CC"/>
    <w:rsid w:val="4751059E"/>
    <w:rsid w:val="4757098D"/>
    <w:rsid w:val="47580A4F"/>
    <w:rsid w:val="475E3E60"/>
    <w:rsid w:val="4761517C"/>
    <w:rsid w:val="47620EC1"/>
    <w:rsid w:val="47725003"/>
    <w:rsid w:val="47772827"/>
    <w:rsid w:val="477A5B03"/>
    <w:rsid w:val="47A6458F"/>
    <w:rsid w:val="47B3669C"/>
    <w:rsid w:val="47B947D7"/>
    <w:rsid w:val="47C42F44"/>
    <w:rsid w:val="47D87CCB"/>
    <w:rsid w:val="47EC2C40"/>
    <w:rsid w:val="47F70E80"/>
    <w:rsid w:val="480E4881"/>
    <w:rsid w:val="482E0902"/>
    <w:rsid w:val="486969E4"/>
    <w:rsid w:val="486E5E46"/>
    <w:rsid w:val="48857503"/>
    <w:rsid w:val="48936342"/>
    <w:rsid w:val="48BA34BF"/>
    <w:rsid w:val="48BA7C8E"/>
    <w:rsid w:val="48CA0316"/>
    <w:rsid w:val="48D24004"/>
    <w:rsid w:val="48E3549C"/>
    <w:rsid w:val="49005845"/>
    <w:rsid w:val="490E381C"/>
    <w:rsid w:val="49320D52"/>
    <w:rsid w:val="49331E6B"/>
    <w:rsid w:val="497C2F9B"/>
    <w:rsid w:val="49891591"/>
    <w:rsid w:val="49A50C3B"/>
    <w:rsid w:val="49A71F90"/>
    <w:rsid w:val="49B84D10"/>
    <w:rsid w:val="49BB04F1"/>
    <w:rsid w:val="49C9125C"/>
    <w:rsid w:val="49D43B5B"/>
    <w:rsid w:val="4A0B1B7C"/>
    <w:rsid w:val="4A122D58"/>
    <w:rsid w:val="4A1B0561"/>
    <w:rsid w:val="4A396157"/>
    <w:rsid w:val="4A59484A"/>
    <w:rsid w:val="4A5C796A"/>
    <w:rsid w:val="4A696C86"/>
    <w:rsid w:val="4A7278ED"/>
    <w:rsid w:val="4A763126"/>
    <w:rsid w:val="4A984DD5"/>
    <w:rsid w:val="4AA53F6C"/>
    <w:rsid w:val="4AC45939"/>
    <w:rsid w:val="4AF428EA"/>
    <w:rsid w:val="4B4F210B"/>
    <w:rsid w:val="4B8F2951"/>
    <w:rsid w:val="4BB413A6"/>
    <w:rsid w:val="4BBC0E11"/>
    <w:rsid w:val="4BC80C39"/>
    <w:rsid w:val="4BCE0582"/>
    <w:rsid w:val="4BD62135"/>
    <w:rsid w:val="4BDD0B12"/>
    <w:rsid w:val="4C0D7E6D"/>
    <w:rsid w:val="4C124410"/>
    <w:rsid w:val="4C3D2D72"/>
    <w:rsid w:val="4C6F19B3"/>
    <w:rsid w:val="4C7807C4"/>
    <w:rsid w:val="4C812C5A"/>
    <w:rsid w:val="4CC84BB5"/>
    <w:rsid w:val="4D0334AC"/>
    <w:rsid w:val="4D044438"/>
    <w:rsid w:val="4D077B55"/>
    <w:rsid w:val="4D0D4C7D"/>
    <w:rsid w:val="4D192578"/>
    <w:rsid w:val="4D224A79"/>
    <w:rsid w:val="4D27589B"/>
    <w:rsid w:val="4D3F08E5"/>
    <w:rsid w:val="4D4629B9"/>
    <w:rsid w:val="4D4C15B9"/>
    <w:rsid w:val="4D621594"/>
    <w:rsid w:val="4D6E7A9F"/>
    <w:rsid w:val="4D76083F"/>
    <w:rsid w:val="4D777A7C"/>
    <w:rsid w:val="4D7B6E0C"/>
    <w:rsid w:val="4D8239A2"/>
    <w:rsid w:val="4D862A08"/>
    <w:rsid w:val="4D923430"/>
    <w:rsid w:val="4DAC6FA8"/>
    <w:rsid w:val="4DC13227"/>
    <w:rsid w:val="4DC4118F"/>
    <w:rsid w:val="4DDE4E0C"/>
    <w:rsid w:val="4DEC65FB"/>
    <w:rsid w:val="4E1D099A"/>
    <w:rsid w:val="4E203244"/>
    <w:rsid w:val="4E2208FF"/>
    <w:rsid w:val="4E513DB4"/>
    <w:rsid w:val="4E8613BD"/>
    <w:rsid w:val="4EBB2D06"/>
    <w:rsid w:val="4ED36118"/>
    <w:rsid w:val="4EDB605D"/>
    <w:rsid w:val="4EEE478F"/>
    <w:rsid w:val="4EFB110E"/>
    <w:rsid w:val="4F1C3266"/>
    <w:rsid w:val="4F1E4E43"/>
    <w:rsid w:val="4F31081D"/>
    <w:rsid w:val="4F5E543E"/>
    <w:rsid w:val="4F5F101B"/>
    <w:rsid w:val="4F7B5D68"/>
    <w:rsid w:val="4FAE724F"/>
    <w:rsid w:val="4FC960FA"/>
    <w:rsid w:val="4FCE5625"/>
    <w:rsid w:val="4FCF3DFA"/>
    <w:rsid w:val="4FF70350"/>
    <w:rsid w:val="500A0A5B"/>
    <w:rsid w:val="50120F01"/>
    <w:rsid w:val="501D0049"/>
    <w:rsid w:val="501E562A"/>
    <w:rsid w:val="50285B3B"/>
    <w:rsid w:val="508E5DEE"/>
    <w:rsid w:val="50943A59"/>
    <w:rsid w:val="509D719B"/>
    <w:rsid w:val="50A11A10"/>
    <w:rsid w:val="50C24F99"/>
    <w:rsid w:val="50CD32E4"/>
    <w:rsid w:val="50F213B1"/>
    <w:rsid w:val="511A0F08"/>
    <w:rsid w:val="511E09DB"/>
    <w:rsid w:val="512167BE"/>
    <w:rsid w:val="51355A3A"/>
    <w:rsid w:val="51422F2D"/>
    <w:rsid w:val="51487888"/>
    <w:rsid w:val="514E4340"/>
    <w:rsid w:val="51745860"/>
    <w:rsid w:val="517A2B77"/>
    <w:rsid w:val="517E3E89"/>
    <w:rsid w:val="51905B59"/>
    <w:rsid w:val="51B701EF"/>
    <w:rsid w:val="51D520F6"/>
    <w:rsid w:val="51EC6582"/>
    <w:rsid w:val="51FD057C"/>
    <w:rsid w:val="5211071C"/>
    <w:rsid w:val="521C7254"/>
    <w:rsid w:val="5246542C"/>
    <w:rsid w:val="525B6740"/>
    <w:rsid w:val="526F12CF"/>
    <w:rsid w:val="52747BEB"/>
    <w:rsid w:val="527B529C"/>
    <w:rsid w:val="527C5FD0"/>
    <w:rsid w:val="528F5AE3"/>
    <w:rsid w:val="52AB581B"/>
    <w:rsid w:val="52B72C5F"/>
    <w:rsid w:val="52D45E8A"/>
    <w:rsid w:val="52E57721"/>
    <w:rsid w:val="52FB6070"/>
    <w:rsid w:val="52FC3D27"/>
    <w:rsid w:val="53141514"/>
    <w:rsid w:val="531E1568"/>
    <w:rsid w:val="53393CF4"/>
    <w:rsid w:val="533B6884"/>
    <w:rsid w:val="5351060C"/>
    <w:rsid w:val="53574E95"/>
    <w:rsid w:val="5371046A"/>
    <w:rsid w:val="537A0C43"/>
    <w:rsid w:val="538840F0"/>
    <w:rsid w:val="538B4E93"/>
    <w:rsid w:val="539441F4"/>
    <w:rsid w:val="53FD1434"/>
    <w:rsid w:val="54052EE4"/>
    <w:rsid w:val="541D555B"/>
    <w:rsid w:val="54251D8B"/>
    <w:rsid w:val="542B4B59"/>
    <w:rsid w:val="54310AD3"/>
    <w:rsid w:val="546027E9"/>
    <w:rsid w:val="54A2105D"/>
    <w:rsid w:val="54AC7056"/>
    <w:rsid w:val="54B5003B"/>
    <w:rsid w:val="54B9644F"/>
    <w:rsid w:val="550A1CB7"/>
    <w:rsid w:val="55225E30"/>
    <w:rsid w:val="55271D33"/>
    <w:rsid w:val="553148E7"/>
    <w:rsid w:val="554D0466"/>
    <w:rsid w:val="555D1564"/>
    <w:rsid w:val="556A5333"/>
    <w:rsid w:val="55756A93"/>
    <w:rsid w:val="55760162"/>
    <w:rsid w:val="559E10F0"/>
    <w:rsid w:val="559F1557"/>
    <w:rsid w:val="55C242AF"/>
    <w:rsid w:val="55E9752C"/>
    <w:rsid w:val="56275AB8"/>
    <w:rsid w:val="5657229F"/>
    <w:rsid w:val="565D7DD7"/>
    <w:rsid w:val="566F206D"/>
    <w:rsid w:val="56792AAA"/>
    <w:rsid w:val="567B388B"/>
    <w:rsid w:val="568449DF"/>
    <w:rsid w:val="568E53AA"/>
    <w:rsid w:val="56907A86"/>
    <w:rsid w:val="56B9530B"/>
    <w:rsid w:val="56C85C3F"/>
    <w:rsid w:val="56CA27F6"/>
    <w:rsid w:val="56CC7DC9"/>
    <w:rsid w:val="56E6216D"/>
    <w:rsid w:val="56E71D12"/>
    <w:rsid w:val="56F36160"/>
    <w:rsid w:val="57193E5A"/>
    <w:rsid w:val="57322BE1"/>
    <w:rsid w:val="57736434"/>
    <w:rsid w:val="57973B55"/>
    <w:rsid w:val="57BF2C94"/>
    <w:rsid w:val="57BF5E8A"/>
    <w:rsid w:val="57C16A3D"/>
    <w:rsid w:val="57CA48E9"/>
    <w:rsid w:val="57CF1309"/>
    <w:rsid w:val="58004348"/>
    <w:rsid w:val="580B4CB9"/>
    <w:rsid w:val="581B1166"/>
    <w:rsid w:val="58916675"/>
    <w:rsid w:val="58932419"/>
    <w:rsid w:val="58933E88"/>
    <w:rsid w:val="589B64D1"/>
    <w:rsid w:val="58AC2323"/>
    <w:rsid w:val="590C547C"/>
    <w:rsid w:val="59192605"/>
    <w:rsid w:val="591D7EBC"/>
    <w:rsid w:val="59272C02"/>
    <w:rsid w:val="59335BB6"/>
    <w:rsid w:val="593A57EC"/>
    <w:rsid w:val="5961103E"/>
    <w:rsid w:val="59835CBB"/>
    <w:rsid w:val="598A2CDB"/>
    <w:rsid w:val="59A56BE3"/>
    <w:rsid w:val="59C17900"/>
    <w:rsid w:val="59C226DA"/>
    <w:rsid w:val="59D25464"/>
    <w:rsid w:val="59E11EA2"/>
    <w:rsid w:val="5A010C5C"/>
    <w:rsid w:val="5A2413BF"/>
    <w:rsid w:val="5A28189A"/>
    <w:rsid w:val="5A637829"/>
    <w:rsid w:val="5A696A84"/>
    <w:rsid w:val="5A6A50C8"/>
    <w:rsid w:val="5A9656F8"/>
    <w:rsid w:val="5A996A50"/>
    <w:rsid w:val="5AA31B64"/>
    <w:rsid w:val="5AAE3806"/>
    <w:rsid w:val="5AD1015A"/>
    <w:rsid w:val="5ADF2C45"/>
    <w:rsid w:val="5B10374D"/>
    <w:rsid w:val="5B49543E"/>
    <w:rsid w:val="5B4D27C1"/>
    <w:rsid w:val="5B6664FF"/>
    <w:rsid w:val="5B6F667E"/>
    <w:rsid w:val="5B962B48"/>
    <w:rsid w:val="5BA44B53"/>
    <w:rsid w:val="5BBD7F43"/>
    <w:rsid w:val="5BF23EF2"/>
    <w:rsid w:val="5BF705DC"/>
    <w:rsid w:val="5BFEE098"/>
    <w:rsid w:val="5C0155EE"/>
    <w:rsid w:val="5C662512"/>
    <w:rsid w:val="5C6A4B0B"/>
    <w:rsid w:val="5C8A6E31"/>
    <w:rsid w:val="5CC73530"/>
    <w:rsid w:val="5CDB0307"/>
    <w:rsid w:val="5CFA7B3C"/>
    <w:rsid w:val="5D2A568C"/>
    <w:rsid w:val="5D494DAA"/>
    <w:rsid w:val="5D6879AC"/>
    <w:rsid w:val="5D860ED5"/>
    <w:rsid w:val="5DB20452"/>
    <w:rsid w:val="5DB759CB"/>
    <w:rsid w:val="5DBB40F3"/>
    <w:rsid w:val="5DFDDB1E"/>
    <w:rsid w:val="5E035B7B"/>
    <w:rsid w:val="5E1D2436"/>
    <w:rsid w:val="5E213C67"/>
    <w:rsid w:val="5E3C740F"/>
    <w:rsid w:val="5E46135E"/>
    <w:rsid w:val="5E5D3A71"/>
    <w:rsid w:val="5E60260B"/>
    <w:rsid w:val="5E7702A8"/>
    <w:rsid w:val="5E971546"/>
    <w:rsid w:val="5EA12D48"/>
    <w:rsid w:val="5EBB6B76"/>
    <w:rsid w:val="5ECB76EE"/>
    <w:rsid w:val="5EED3A9C"/>
    <w:rsid w:val="5F3620DD"/>
    <w:rsid w:val="5F4730B2"/>
    <w:rsid w:val="5F55500C"/>
    <w:rsid w:val="5F6B5F0A"/>
    <w:rsid w:val="5F7B4A24"/>
    <w:rsid w:val="5F7D7209"/>
    <w:rsid w:val="5F9744ED"/>
    <w:rsid w:val="5FA72235"/>
    <w:rsid w:val="5FB02820"/>
    <w:rsid w:val="5FBF40D9"/>
    <w:rsid w:val="5FD039A2"/>
    <w:rsid w:val="5FF82F88"/>
    <w:rsid w:val="60136053"/>
    <w:rsid w:val="602E7A7C"/>
    <w:rsid w:val="603C3D02"/>
    <w:rsid w:val="60993CEE"/>
    <w:rsid w:val="60A40DD2"/>
    <w:rsid w:val="60AA6E65"/>
    <w:rsid w:val="60C27A83"/>
    <w:rsid w:val="60D80C47"/>
    <w:rsid w:val="610710C0"/>
    <w:rsid w:val="610B78EA"/>
    <w:rsid w:val="61467562"/>
    <w:rsid w:val="61485B93"/>
    <w:rsid w:val="61523B1B"/>
    <w:rsid w:val="61546904"/>
    <w:rsid w:val="615A2323"/>
    <w:rsid w:val="617205D9"/>
    <w:rsid w:val="61792897"/>
    <w:rsid w:val="61934D2E"/>
    <w:rsid w:val="61A60340"/>
    <w:rsid w:val="61AD3C17"/>
    <w:rsid w:val="61AF130A"/>
    <w:rsid w:val="61E53D41"/>
    <w:rsid w:val="61F26796"/>
    <w:rsid w:val="61F33E33"/>
    <w:rsid w:val="620108E7"/>
    <w:rsid w:val="62182763"/>
    <w:rsid w:val="621C2A88"/>
    <w:rsid w:val="62267A6A"/>
    <w:rsid w:val="62693673"/>
    <w:rsid w:val="62781E83"/>
    <w:rsid w:val="62845E8E"/>
    <w:rsid w:val="628479A3"/>
    <w:rsid w:val="62902FF4"/>
    <w:rsid w:val="629D3AF1"/>
    <w:rsid w:val="62AB5DBF"/>
    <w:rsid w:val="62B26541"/>
    <w:rsid w:val="62E66ED4"/>
    <w:rsid w:val="631232B9"/>
    <w:rsid w:val="633555B1"/>
    <w:rsid w:val="63372A9B"/>
    <w:rsid w:val="634705A4"/>
    <w:rsid w:val="63496199"/>
    <w:rsid w:val="634C5E90"/>
    <w:rsid w:val="63534ADC"/>
    <w:rsid w:val="6360132F"/>
    <w:rsid w:val="63807D71"/>
    <w:rsid w:val="63820D87"/>
    <w:rsid w:val="6397657F"/>
    <w:rsid w:val="63AB2FB6"/>
    <w:rsid w:val="63D1478B"/>
    <w:rsid w:val="63FE45D7"/>
    <w:rsid w:val="640872D7"/>
    <w:rsid w:val="6409385F"/>
    <w:rsid w:val="641C33AF"/>
    <w:rsid w:val="643667CD"/>
    <w:rsid w:val="64786E96"/>
    <w:rsid w:val="64A05B25"/>
    <w:rsid w:val="64C45982"/>
    <w:rsid w:val="64E43CAD"/>
    <w:rsid w:val="650C13F1"/>
    <w:rsid w:val="650F2EAB"/>
    <w:rsid w:val="65271F41"/>
    <w:rsid w:val="65344645"/>
    <w:rsid w:val="654E1605"/>
    <w:rsid w:val="65852BB0"/>
    <w:rsid w:val="65D3510D"/>
    <w:rsid w:val="65F5255F"/>
    <w:rsid w:val="65FC4CBB"/>
    <w:rsid w:val="662C24B7"/>
    <w:rsid w:val="664B2550"/>
    <w:rsid w:val="665250DC"/>
    <w:rsid w:val="667937C7"/>
    <w:rsid w:val="668D3B28"/>
    <w:rsid w:val="669A44E1"/>
    <w:rsid w:val="669D1382"/>
    <w:rsid w:val="66A359F5"/>
    <w:rsid w:val="66AD7BC4"/>
    <w:rsid w:val="66BF1F32"/>
    <w:rsid w:val="66D7779C"/>
    <w:rsid w:val="66F2783C"/>
    <w:rsid w:val="670F5A14"/>
    <w:rsid w:val="67153EE6"/>
    <w:rsid w:val="672B7B38"/>
    <w:rsid w:val="6730779A"/>
    <w:rsid w:val="67324F79"/>
    <w:rsid w:val="6760307A"/>
    <w:rsid w:val="676F1B28"/>
    <w:rsid w:val="678C7BC9"/>
    <w:rsid w:val="678D1F63"/>
    <w:rsid w:val="67B55219"/>
    <w:rsid w:val="67C97804"/>
    <w:rsid w:val="67DD7EDC"/>
    <w:rsid w:val="680C1ACC"/>
    <w:rsid w:val="680C5982"/>
    <w:rsid w:val="6825583C"/>
    <w:rsid w:val="68261FF1"/>
    <w:rsid w:val="682F22F4"/>
    <w:rsid w:val="68453638"/>
    <w:rsid w:val="686259C5"/>
    <w:rsid w:val="68681602"/>
    <w:rsid w:val="686A79C4"/>
    <w:rsid w:val="68845783"/>
    <w:rsid w:val="689C2899"/>
    <w:rsid w:val="68A11077"/>
    <w:rsid w:val="68B806A9"/>
    <w:rsid w:val="68C33B71"/>
    <w:rsid w:val="68C577FC"/>
    <w:rsid w:val="68DE790D"/>
    <w:rsid w:val="68E522FA"/>
    <w:rsid w:val="68EF06F4"/>
    <w:rsid w:val="68FB670F"/>
    <w:rsid w:val="69000D67"/>
    <w:rsid w:val="69027573"/>
    <w:rsid w:val="69117289"/>
    <w:rsid w:val="691E1A9A"/>
    <w:rsid w:val="692B230E"/>
    <w:rsid w:val="69321295"/>
    <w:rsid w:val="69445D75"/>
    <w:rsid w:val="697621B6"/>
    <w:rsid w:val="69865C1C"/>
    <w:rsid w:val="699B2874"/>
    <w:rsid w:val="69C12B33"/>
    <w:rsid w:val="69D63AB9"/>
    <w:rsid w:val="69DD1C68"/>
    <w:rsid w:val="69FE4B1A"/>
    <w:rsid w:val="6A122EC6"/>
    <w:rsid w:val="6A4C4CE3"/>
    <w:rsid w:val="6A5134CF"/>
    <w:rsid w:val="6A5343C2"/>
    <w:rsid w:val="6A5D48E7"/>
    <w:rsid w:val="6A703838"/>
    <w:rsid w:val="6A761A13"/>
    <w:rsid w:val="6A794921"/>
    <w:rsid w:val="6A835E2B"/>
    <w:rsid w:val="6A84407F"/>
    <w:rsid w:val="6A9727AB"/>
    <w:rsid w:val="6A9751E7"/>
    <w:rsid w:val="6AAB5637"/>
    <w:rsid w:val="6ACB6D95"/>
    <w:rsid w:val="6ACF079C"/>
    <w:rsid w:val="6AD53574"/>
    <w:rsid w:val="6AD86C97"/>
    <w:rsid w:val="6AEB3361"/>
    <w:rsid w:val="6B047DAE"/>
    <w:rsid w:val="6B1C6159"/>
    <w:rsid w:val="6B2362EF"/>
    <w:rsid w:val="6B2405C5"/>
    <w:rsid w:val="6B5517F9"/>
    <w:rsid w:val="6B593EA5"/>
    <w:rsid w:val="6B6335C0"/>
    <w:rsid w:val="6B824826"/>
    <w:rsid w:val="6B8C25A0"/>
    <w:rsid w:val="6B933EC9"/>
    <w:rsid w:val="6BA41E13"/>
    <w:rsid w:val="6BA7663D"/>
    <w:rsid w:val="6BBA359E"/>
    <w:rsid w:val="6BF27DB8"/>
    <w:rsid w:val="6BF669FF"/>
    <w:rsid w:val="6BFD7FCE"/>
    <w:rsid w:val="6C134924"/>
    <w:rsid w:val="6C1C449F"/>
    <w:rsid w:val="6C4D084E"/>
    <w:rsid w:val="6C933743"/>
    <w:rsid w:val="6D2B5B6B"/>
    <w:rsid w:val="6D3934A8"/>
    <w:rsid w:val="6D955BEE"/>
    <w:rsid w:val="6DDF7171"/>
    <w:rsid w:val="6DE57F01"/>
    <w:rsid w:val="6DEA5E7F"/>
    <w:rsid w:val="6DFF4B03"/>
    <w:rsid w:val="6E253F47"/>
    <w:rsid w:val="6E2F33E7"/>
    <w:rsid w:val="6E6609CD"/>
    <w:rsid w:val="6E825CDE"/>
    <w:rsid w:val="6E972608"/>
    <w:rsid w:val="6EB77ED2"/>
    <w:rsid w:val="6EC62E65"/>
    <w:rsid w:val="6ED538BD"/>
    <w:rsid w:val="6ED607B5"/>
    <w:rsid w:val="6ED65B78"/>
    <w:rsid w:val="6EDB12E4"/>
    <w:rsid w:val="6EE165D1"/>
    <w:rsid w:val="6F072835"/>
    <w:rsid w:val="6F4713C0"/>
    <w:rsid w:val="6F496521"/>
    <w:rsid w:val="6F6350AD"/>
    <w:rsid w:val="6F717D79"/>
    <w:rsid w:val="6F975F07"/>
    <w:rsid w:val="6FBF9942"/>
    <w:rsid w:val="6FF30F78"/>
    <w:rsid w:val="701D6B53"/>
    <w:rsid w:val="704966FC"/>
    <w:rsid w:val="706614A5"/>
    <w:rsid w:val="7079236D"/>
    <w:rsid w:val="70A174E5"/>
    <w:rsid w:val="70C106D4"/>
    <w:rsid w:val="70C144FA"/>
    <w:rsid w:val="70C96F79"/>
    <w:rsid w:val="70F61187"/>
    <w:rsid w:val="70FE73BF"/>
    <w:rsid w:val="71107126"/>
    <w:rsid w:val="71150F60"/>
    <w:rsid w:val="711F3DA5"/>
    <w:rsid w:val="712B01DA"/>
    <w:rsid w:val="71310F05"/>
    <w:rsid w:val="71556CA2"/>
    <w:rsid w:val="716234CF"/>
    <w:rsid w:val="716B03D6"/>
    <w:rsid w:val="717733CD"/>
    <w:rsid w:val="71791808"/>
    <w:rsid w:val="718F2976"/>
    <w:rsid w:val="719F3FF1"/>
    <w:rsid w:val="71CA086B"/>
    <w:rsid w:val="71D460CC"/>
    <w:rsid w:val="71EA24EF"/>
    <w:rsid w:val="71ED2368"/>
    <w:rsid w:val="71F76183"/>
    <w:rsid w:val="720C33A8"/>
    <w:rsid w:val="720E2AF6"/>
    <w:rsid w:val="72167163"/>
    <w:rsid w:val="72630946"/>
    <w:rsid w:val="72696605"/>
    <w:rsid w:val="727855D2"/>
    <w:rsid w:val="727865B5"/>
    <w:rsid w:val="72C4552A"/>
    <w:rsid w:val="72C5771E"/>
    <w:rsid w:val="72D85833"/>
    <w:rsid w:val="73392C7F"/>
    <w:rsid w:val="733F700D"/>
    <w:rsid w:val="73486A14"/>
    <w:rsid w:val="736E516B"/>
    <w:rsid w:val="73737B27"/>
    <w:rsid w:val="737D1284"/>
    <w:rsid w:val="738A683E"/>
    <w:rsid w:val="73940F66"/>
    <w:rsid w:val="73A10ED8"/>
    <w:rsid w:val="73A362AB"/>
    <w:rsid w:val="73AF5232"/>
    <w:rsid w:val="73BA3467"/>
    <w:rsid w:val="73ED6591"/>
    <w:rsid w:val="73F601D3"/>
    <w:rsid w:val="741C0696"/>
    <w:rsid w:val="741E2A3A"/>
    <w:rsid w:val="74412814"/>
    <w:rsid w:val="744E501A"/>
    <w:rsid w:val="7461043D"/>
    <w:rsid w:val="746867B6"/>
    <w:rsid w:val="74D02062"/>
    <w:rsid w:val="74D059E7"/>
    <w:rsid w:val="750912D9"/>
    <w:rsid w:val="7520407B"/>
    <w:rsid w:val="754211EF"/>
    <w:rsid w:val="75485643"/>
    <w:rsid w:val="755401FD"/>
    <w:rsid w:val="755E4561"/>
    <w:rsid w:val="756C2AE8"/>
    <w:rsid w:val="75DF2B92"/>
    <w:rsid w:val="75FA316E"/>
    <w:rsid w:val="760A66D0"/>
    <w:rsid w:val="761D4CC4"/>
    <w:rsid w:val="7629660B"/>
    <w:rsid w:val="764A7F7F"/>
    <w:rsid w:val="765504A1"/>
    <w:rsid w:val="766E280E"/>
    <w:rsid w:val="76844537"/>
    <w:rsid w:val="768554B4"/>
    <w:rsid w:val="769839B4"/>
    <w:rsid w:val="76991C7B"/>
    <w:rsid w:val="76BB2851"/>
    <w:rsid w:val="76C36580"/>
    <w:rsid w:val="76CE1E8E"/>
    <w:rsid w:val="77136F0E"/>
    <w:rsid w:val="772A1738"/>
    <w:rsid w:val="775B2CCF"/>
    <w:rsid w:val="775B2D88"/>
    <w:rsid w:val="77657A88"/>
    <w:rsid w:val="776E1F4D"/>
    <w:rsid w:val="776E25C8"/>
    <w:rsid w:val="779025F9"/>
    <w:rsid w:val="77A93B92"/>
    <w:rsid w:val="77BB2ED2"/>
    <w:rsid w:val="77C32BE4"/>
    <w:rsid w:val="77CF376F"/>
    <w:rsid w:val="77DFB5B2"/>
    <w:rsid w:val="781539A7"/>
    <w:rsid w:val="782066E2"/>
    <w:rsid w:val="78414B2E"/>
    <w:rsid w:val="7849117C"/>
    <w:rsid w:val="784D4DA0"/>
    <w:rsid w:val="784E60FD"/>
    <w:rsid w:val="78960322"/>
    <w:rsid w:val="78B54500"/>
    <w:rsid w:val="78BC340A"/>
    <w:rsid w:val="78D06865"/>
    <w:rsid w:val="78E250C6"/>
    <w:rsid w:val="78ED76F2"/>
    <w:rsid w:val="78F84BB6"/>
    <w:rsid w:val="79107D56"/>
    <w:rsid w:val="79514EEC"/>
    <w:rsid w:val="79656E35"/>
    <w:rsid w:val="7981225E"/>
    <w:rsid w:val="79A73292"/>
    <w:rsid w:val="79B67AE7"/>
    <w:rsid w:val="79BE0FEA"/>
    <w:rsid w:val="79BF4AE9"/>
    <w:rsid w:val="79CD19C4"/>
    <w:rsid w:val="79CF30CF"/>
    <w:rsid w:val="79FE8DED"/>
    <w:rsid w:val="7A044C45"/>
    <w:rsid w:val="7A2A2E21"/>
    <w:rsid w:val="7A2B19F7"/>
    <w:rsid w:val="7A3D2533"/>
    <w:rsid w:val="7A3F3622"/>
    <w:rsid w:val="7A6466BA"/>
    <w:rsid w:val="7A68076E"/>
    <w:rsid w:val="7A7A4E57"/>
    <w:rsid w:val="7A860A77"/>
    <w:rsid w:val="7A873B82"/>
    <w:rsid w:val="7A8D70FA"/>
    <w:rsid w:val="7A8E29B4"/>
    <w:rsid w:val="7ABC2BF4"/>
    <w:rsid w:val="7AD301A1"/>
    <w:rsid w:val="7ADB1D04"/>
    <w:rsid w:val="7AE3343F"/>
    <w:rsid w:val="7AFD05C1"/>
    <w:rsid w:val="7B095791"/>
    <w:rsid w:val="7B140014"/>
    <w:rsid w:val="7B313CBF"/>
    <w:rsid w:val="7B3408C3"/>
    <w:rsid w:val="7B4F05D1"/>
    <w:rsid w:val="7B7B6124"/>
    <w:rsid w:val="7B85770A"/>
    <w:rsid w:val="7B8A1A0A"/>
    <w:rsid w:val="7BB6541A"/>
    <w:rsid w:val="7BC61046"/>
    <w:rsid w:val="7BDDD648"/>
    <w:rsid w:val="7BE115A2"/>
    <w:rsid w:val="7BE1C2E6"/>
    <w:rsid w:val="7C143C9D"/>
    <w:rsid w:val="7C1D1DED"/>
    <w:rsid w:val="7C3F7A3A"/>
    <w:rsid w:val="7C702446"/>
    <w:rsid w:val="7C783931"/>
    <w:rsid w:val="7C7F5840"/>
    <w:rsid w:val="7C8F51B8"/>
    <w:rsid w:val="7CA73481"/>
    <w:rsid w:val="7CD872B0"/>
    <w:rsid w:val="7CDF50F0"/>
    <w:rsid w:val="7D170760"/>
    <w:rsid w:val="7D30518B"/>
    <w:rsid w:val="7D431705"/>
    <w:rsid w:val="7D60537B"/>
    <w:rsid w:val="7D8A0B9E"/>
    <w:rsid w:val="7DC15EEC"/>
    <w:rsid w:val="7DDA76E6"/>
    <w:rsid w:val="7DE123F4"/>
    <w:rsid w:val="7DF7768B"/>
    <w:rsid w:val="7E4563CF"/>
    <w:rsid w:val="7E567C0D"/>
    <w:rsid w:val="7E613EAB"/>
    <w:rsid w:val="7EA30F23"/>
    <w:rsid w:val="7EBA3D91"/>
    <w:rsid w:val="7EBB3E8D"/>
    <w:rsid w:val="7EBC2943"/>
    <w:rsid w:val="7EBE4702"/>
    <w:rsid w:val="7ECA6AA3"/>
    <w:rsid w:val="7EE34B98"/>
    <w:rsid w:val="7EFE7FF1"/>
    <w:rsid w:val="7F154B44"/>
    <w:rsid w:val="7F1E3C0C"/>
    <w:rsid w:val="7F2B6CC5"/>
    <w:rsid w:val="7F2E6B36"/>
    <w:rsid w:val="7F3E4729"/>
    <w:rsid w:val="7F473382"/>
    <w:rsid w:val="7F7DC474"/>
    <w:rsid w:val="7F8E2E82"/>
    <w:rsid w:val="7F9C5EAF"/>
    <w:rsid w:val="7FE43633"/>
    <w:rsid w:val="7FF37068"/>
    <w:rsid w:val="7FF717CA"/>
    <w:rsid w:val="7FFF2AA5"/>
    <w:rsid w:val="7FFF75A2"/>
    <w:rsid w:val="87FF88F7"/>
    <w:rsid w:val="8DF5F096"/>
    <w:rsid w:val="9FFDD4AC"/>
    <w:rsid w:val="AA7BC520"/>
    <w:rsid w:val="ABBE097E"/>
    <w:rsid w:val="ABD63C52"/>
    <w:rsid w:val="AEF7BC51"/>
    <w:rsid w:val="B5FB1C91"/>
    <w:rsid w:val="BE969337"/>
    <w:rsid w:val="CA2F6568"/>
    <w:rsid w:val="CDFD0801"/>
    <w:rsid w:val="CFBF7E5D"/>
    <w:rsid w:val="D77ACF92"/>
    <w:rsid w:val="D7ADFA9C"/>
    <w:rsid w:val="DEFD4E4A"/>
    <w:rsid w:val="DFCB3860"/>
    <w:rsid w:val="E755C97F"/>
    <w:rsid w:val="E7EFC5C9"/>
    <w:rsid w:val="EBEEC398"/>
    <w:rsid w:val="F17D1447"/>
    <w:rsid w:val="F4FE6789"/>
    <w:rsid w:val="F7BEAD8B"/>
    <w:rsid w:val="F7F1A261"/>
    <w:rsid w:val="F7F9BC00"/>
    <w:rsid w:val="F8767653"/>
    <w:rsid w:val="FB67669A"/>
    <w:rsid w:val="FB7386B4"/>
    <w:rsid w:val="FBBF300C"/>
    <w:rsid w:val="FBF975BA"/>
    <w:rsid w:val="FBFE6F55"/>
    <w:rsid w:val="FC7BEAE4"/>
    <w:rsid w:val="FCF7FD56"/>
    <w:rsid w:val="FDAFE078"/>
    <w:rsid w:val="FE9D1FD0"/>
    <w:rsid w:val="FF5FED3D"/>
    <w:rsid w:val="FFE7369F"/>
    <w:rsid w:val="FFFD2D67"/>
    <w:rsid w:val="FFFEEA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99"/>
    <w:pPr>
      <w:keepNext/>
      <w:keepLines/>
      <w:numPr>
        <w:ilvl w:val="1"/>
        <w:numId w:val="1"/>
      </w:numPr>
      <w:adjustRightInd w:val="0"/>
      <w:snapToGrid w:val="0"/>
      <w:spacing w:before="120" w:after="120"/>
      <w:jc w:val="both"/>
      <w:outlineLvl w:val="1"/>
    </w:pPr>
    <w:rPr>
      <w:rFonts w:ascii="黑体" w:hAnsi="黑体" w:eastAsia="黑体" w:cs="黑体"/>
      <w:bCs/>
      <w:kern w:val="2"/>
      <w:sz w:val="24"/>
      <w:szCs w:val="24"/>
      <w:lang w:val="en-US" w:eastAsia="zh-CN" w:bidi="ar-SA"/>
    </w:rPr>
  </w:style>
  <w:style w:type="paragraph" w:styleId="4">
    <w:name w:val="heading 3"/>
    <w:next w:val="1"/>
    <w:unhideWhenUsed/>
    <w:qFormat/>
    <w:uiPriority w:val="99"/>
    <w:pPr>
      <w:keepNext/>
      <w:keepLines/>
      <w:numPr>
        <w:ilvl w:val="2"/>
        <w:numId w:val="1"/>
      </w:numPr>
      <w:adjustRightInd w:val="0"/>
      <w:snapToGrid w:val="0"/>
      <w:spacing w:beforeLines="50" w:afterLines="50"/>
      <w:jc w:val="both"/>
      <w:outlineLvl w:val="2"/>
    </w:pPr>
    <w:rPr>
      <w:rFonts w:ascii="黑体" w:hAnsi="黑体" w:eastAsia="黑体" w:cs="黑体"/>
      <w:bCs/>
      <w:kern w:val="2"/>
      <w:sz w:val="24"/>
      <w:szCs w:val="24"/>
      <w:lang w:val="en-US" w:eastAsia="zh-CN" w:bidi="ar-SA"/>
    </w:rPr>
  </w:style>
  <w:style w:type="paragraph" w:styleId="5">
    <w:name w:val="heading 4"/>
    <w:next w:val="1"/>
    <w:qFormat/>
    <w:uiPriority w:val="9"/>
    <w:pPr>
      <w:spacing w:line="360" w:lineRule="auto"/>
      <w:ind w:firstLine="480" w:firstLineChars="200"/>
      <w:outlineLvl w:val="3"/>
    </w:pPr>
    <w:rPr>
      <w:rFonts w:ascii="宋体" w:hAnsi="宋体" w:eastAsia="宋体" w:cs="Times New Roman"/>
      <w:bCs/>
      <w:kern w:val="2"/>
      <w:sz w:val="24"/>
      <w:szCs w:val="24"/>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19"/>
    <w:qFormat/>
    <w:uiPriority w:val="0"/>
    <w:rPr>
      <w:rFonts w:ascii="宋体" w:eastAsia="宋体"/>
      <w:sz w:val="18"/>
      <w:szCs w:val="18"/>
    </w:rPr>
  </w:style>
  <w:style w:type="paragraph" w:styleId="7">
    <w:name w:val="annotation text"/>
    <w:basedOn w:val="1"/>
    <w:link w:val="20"/>
    <w:qFormat/>
    <w:uiPriority w:val="0"/>
    <w:pPr>
      <w:jc w:val="left"/>
    </w:pPr>
  </w:style>
  <w:style w:type="paragraph" w:styleId="8">
    <w:name w:val="Body Text 3"/>
    <w:basedOn w:val="1"/>
    <w:qFormat/>
    <w:uiPriority w:val="99"/>
    <w:rPr>
      <w:sz w:val="16"/>
      <w:szCs w:val="16"/>
    </w:rPr>
  </w:style>
  <w:style w:type="paragraph" w:styleId="9">
    <w:name w:val="Body Text"/>
    <w:basedOn w:val="1"/>
    <w:next w:val="10"/>
    <w:qFormat/>
    <w:uiPriority w:val="0"/>
    <w:pPr>
      <w:spacing w:after="120" w:afterLines="0"/>
    </w:pPr>
  </w:style>
  <w:style w:type="paragraph" w:styleId="10">
    <w:name w:val="Body Text First Indent"/>
    <w:basedOn w:val="1"/>
    <w:next w:val="1"/>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0"/>
      <w:lang w:val="en-US" w:eastAsia="zh-CN" w:bidi="ar"/>
    </w:rPr>
  </w:style>
  <w:style w:type="paragraph" w:styleId="11">
    <w:name w:val="Balloon Text"/>
    <w:basedOn w:val="1"/>
    <w:link w:val="22"/>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annotation subject"/>
    <w:basedOn w:val="7"/>
    <w:next w:val="7"/>
    <w:link w:val="21"/>
    <w:qFormat/>
    <w:uiPriority w:val="0"/>
    <w:rPr>
      <w:b/>
      <w:bCs/>
    </w:rPr>
  </w:style>
  <w:style w:type="character" w:styleId="17">
    <w:name w:val="annotation reference"/>
    <w:basedOn w:val="16"/>
    <w:qFormat/>
    <w:uiPriority w:val="0"/>
    <w:rPr>
      <w:sz w:val="21"/>
      <w:szCs w:val="21"/>
    </w:rPr>
  </w:style>
  <w:style w:type="paragraph" w:styleId="18">
    <w:name w:val="List Paragraph"/>
    <w:basedOn w:val="1"/>
    <w:qFormat/>
    <w:uiPriority w:val="34"/>
    <w:pPr>
      <w:ind w:firstLine="420"/>
    </w:pPr>
  </w:style>
  <w:style w:type="character" w:customStyle="1" w:styleId="19">
    <w:name w:val="文档结构图 Char"/>
    <w:basedOn w:val="16"/>
    <w:link w:val="6"/>
    <w:qFormat/>
    <w:uiPriority w:val="0"/>
    <w:rPr>
      <w:rFonts w:ascii="宋体" w:hAnsiTheme="minorHAnsi" w:cstheme="minorBidi"/>
      <w:kern w:val="2"/>
      <w:sz w:val="18"/>
      <w:szCs w:val="18"/>
    </w:rPr>
  </w:style>
  <w:style w:type="character" w:customStyle="1" w:styleId="20">
    <w:name w:val="批注文字 Char"/>
    <w:basedOn w:val="16"/>
    <w:link w:val="7"/>
    <w:qFormat/>
    <w:uiPriority w:val="0"/>
    <w:rPr>
      <w:rFonts w:asciiTheme="minorHAnsi" w:hAnsiTheme="minorHAnsi" w:eastAsiaTheme="minorEastAsia" w:cstheme="minorBidi"/>
      <w:kern w:val="2"/>
      <w:sz w:val="21"/>
      <w:szCs w:val="24"/>
    </w:rPr>
  </w:style>
  <w:style w:type="character" w:customStyle="1" w:styleId="21">
    <w:name w:val="批注主题 Char"/>
    <w:basedOn w:val="20"/>
    <w:link w:val="14"/>
    <w:qFormat/>
    <w:uiPriority w:val="0"/>
    <w:rPr>
      <w:b/>
      <w:bCs/>
    </w:rPr>
  </w:style>
  <w:style w:type="character" w:customStyle="1" w:styleId="22">
    <w:name w:val="批注框文本 Char"/>
    <w:basedOn w:val="16"/>
    <w:link w:val="11"/>
    <w:qFormat/>
    <w:uiPriority w:val="0"/>
    <w:rPr>
      <w:rFonts w:asciiTheme="minorHAnsi" w:hAnsiTheme="minorHAnsi" w:eastAsiaTheme="minorEastAsia" w:cstheme="minorBidi"/>
      <w:kern w:val="2"/>
      <w:sz w:val="18"/>
      <w:szCs w:val="18"/>
    </w:rPr>
  </w:style>
  <w:style w:type="paragraph" w:customStyle="1" w:styleId="23">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4">
    <w:name w:val="font21"/>
    <w:basedOn w:val="16"/>
    <w:qFormat/>
    <w:uiPriority w:val="0"/>
    <w:rPr>
      <w:rFonts w:hint="eastAsia" w:ascii="微软雅黑" w:hAnsi="微软雅黑" w:eastAsia="微软雅黑" w:cs="微软雅黑"/>
      <w:color w:val="000000"/>
      <w:sz w:val="20"/>
      <w:szCs w:val="20"/>
      <w:u w:val="none"/>
    </w:rPr>
  </w:style>
  <w:style w:type="character" w:customStyle="1" w:styleId="25">
    <w:name w:val="font31"/>
    <w:basedOn w:val="16"/>
    <w:qFormat/>
    <w:uiPriority w:val="0"/>
    <w:rPr>
      <w:rFonts w:hint="eastAsia" w:ascii="微软雅黑" w:hAnsi="微软雅黑" w:eastAsia="微软雅黑" w:cs="微软雅黑"/>
      <w:color w:val="FF0000"/>
      <w:sz w:val="20"/>
      <w:szCs w:val="20"/>
      <w:u w:val="none"/>
    </w:rPr>
  </w:style>
  <w:style w:type="character" w:customStyle="1" w:styleId="26">
    <w:name w:val="font11"/>
    <w:basedOn w:val="16"/>
    <w:qFormat/>
    <w:uiPriority w:val="0"/>
    <w:rPr>
      <w:rFonts w:hint="eastAsia" w:ascii="微软雅黑" w:hAnsi="微软雅黑" w:eastAsia="微软雅黑" w:cs="微软雅黑"/>
      <w:b/>
      <w:bCs/>
      <w:color w:val="000000"/>
      <w:sz w:val="20"/>
      <w:szCs w:val="20"/>
      <w:u w:val="none"/>
    </w:rPr>
  </w:style>
  <w:style w:type="paragraph" w:customStyle="1" w:styleId="27">
    <w:name w:val="PwC Normal"/>
    <w:basedOn w:val="1"/>
    <w:qFormat/>
    <w:uiPriority w:val="99"/>
    <w:pPr>
      <w:spacing w:before="180" w:after="180" w:line="240" w:lineRule="atLeast"/>
    </w:pPr>
  </w:style>
  <w:style w:type="paragraph" w:customStyle="1" w:styleId="28">
    <w:name w:val="表内容"/>
    <w:qFormat/>
    <w:uiPriority w:val="0"/>
    <w:pPr>
      <w:spacing w:after="200" w:line="440" w:lineRule="exact"/>
      <w:ind w:firstLine="200" w:firstLineChars="20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886</Words>
  <Characters>5055</Characters>
  <Lines>42</Lines>
  <Paragraphs>11</Paragraphs>
  <TotalTime>4</TotalTime>
  <ScaleCrop>false</ScaleCrop>
  <LinksUpToDate>false</LinksUpToDate>
  <CharactersWithSpaces>5930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2021-07-17T10:12:00Z</dcterms:created>
  <dc:creator>admin</dc:creator>
  <cp:lastModifiedBy>Administrator</cp:lastModifiedBy>
  <cp:lastPrinted>2023-09-15T15:11:00Z</cp:lastPrinted>
  <dcterms:modified xsi:type="dcterms:W3CDTF">2023-10-07T04:30:45Z</dcterms:modified>
  <cp:revision>398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260CD905B2FC2860EF0F0165717D0CBB</vt:lpwstr>
  </property>
</Properties>
</file>