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预期信用损失法咨询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Toc60758346"/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2022年5月，中国银保监会印发《商业银行预期信用损失法实施管理办法》（以下简称办法），对预期信用损失法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理、实施及监督管理角度提出了明确要求及切实可行的措施。目前，全省农信现行的预期信用损失法在内部管理机制、模型参数、前瞻性调整、管理层叠加等方面与《办法》规定的“标准动作”和“底线控制”等存在较大差距，为满足监管要求和提高我社信用风险管理能力，需要引进外部专家为我社提供咨询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（一）差异分析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参照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《办法》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相关规定，梳理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贵州农信管理现状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与监管制度的差异，并以此确定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贵州农信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预期信用损失法整体合规优化方案。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具体内容包括：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管理现状差异分析。基于当前贵州农信预期信用损失法的管理现状，分析与《办法》要求的差异，包括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职责分工、系统开发、基础数据管理、信息收集等方面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施现状差异分析。基于当前贵州农信预期信用损失法的实施现状，分析与《办法》要求的差异，包括风险分组、阶段划分、模型参数、前瞻性调整、管理层叠加、模型验证、实施评估、信用风险损失计提准备、信息披露等方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基于《办法》及同业实施现状，设计长期规划以备长足发展。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（二）完善管理体系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协助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贵州农信及下辖行社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建立健全预期信用损失法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体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系，包括预期信用损失法实施管理制度、管理架构及管理流程。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具体内容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如下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针对全省农信两级法人管理模式，设计整体管理体系；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按《办法》要求，协助制定省联社层面（全省统一执行）的管理制度，并设计行社通用管理制度模板供行社参考；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设计省联社审批文档标准模板，并设计行社通用审批文档标准模板供行社参考；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协助内部审计部门设计内审流程和实施方案；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协助监事会设计预期信用损失法实施监督流程。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/>
          <w:snapToGrid w:val="0"/>
          <w:kern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" w:cs="Times New Roman"/>
          <w:b w:val="0"/>
          <w:bCs/>
          <w:snapToGrid w:val="0"/>
          <w:kern w:val="0"/>
          <w:sz w:val="32"/>
          <w:szCs w:val="32"/>
        </w:rPr>
        <w:t>优化</w:t>
      </w:r>
      <w:r>
        <w:rPr>
          <w:rFonts w:hint="default" w:ascii="Times New Roman" w:hAnsi="Times New Roman" w:eastAsia="楷体" w:cs="Times New Roman"/>
          <w:b w:val="0"/>
          <w:bCs/>
          <w:snapToGrid w:val="0"/>
          <w:kern w:val="0"/>
          <w:sz w:val="32"/>
          <w:szCs w:val="32"/>
          <w:lang w:eastAsia="zh-CN"/>
        </w:rPr>
        <w:t>模型参数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借鉴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同业实践，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结合贵州农信风险现状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设计不同场景模型方案，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并进行数据测算，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对预期信用损失模型进行全面优化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优化后的模型需要充分考虑不同行社的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实际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情况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，并确保实施落地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。内容包括：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优化风险分组标准。协助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贵州农信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设计符合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办法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》要求的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敞口划分方案，评估与信用主体及其信用风险敞口相关的所有可获得的信息，根据产品类型、客户类型、客户所属行业及市场分布等信用风险特征，对信用风险敞口进行风险分组。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优化阶段划分标准。协助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贵州农信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设计符合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办法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要求的阶段划分方案，建立独立的、定量与定性相结合的阶段划分标准，确保阶段划分具有前瞻性，并制定符合监管要求的阶段划分迁徙标准。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优化前瞻性模型。协助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贵州农信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充分评估前瞻性信息对预期信用损失的影响，根据业务性质确定驱动信用风险变化的前瞻性信息指标，进一步优化前瞻性模型，提高前瞻性模型与风险分组的匹配度。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4.优化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单项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减值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评估模型方案，以供行社采用单项评估方式对单笔债项评估预期信用损失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搭建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管理层叠加模型。根据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办法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对管理层叠加模型的相关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要求，识别短期影响风险因素，引入定量定性模型方案，设计合理审慎的管理层叠加模型参数，并协助规范管理层叠加模型的管理制度及审批流程。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建立重检修正机制。根据管理办法要求，针对风险分组和阶段划分等内容协助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贵州农信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建立重检修正机制，明确重检修正标准，确保重检修正的合理性。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7.基于优化后的预期信用损失模型方案，构建减值模型归因框架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及模型敏感性测试，详细比较优化前后方案的不同点和影响分析，包括但不限于风险分组、阶段划分、模型参数等变更内容，分析相关参数变更及资产质量的变化等因素对拨备水平的影响情况，并论证其合理性。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napToGrid w:val="0"/>
          <w:kern w:val="0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" w:cs="Times New Roman"/>
          <w:b w:val="0"/>
          <w:bCs/>
          <w:snapToGrid w:val="0"/>
          <w:kern w:val="0"/>
          <w:sz w:val="32"/>
          <w:szCs w:val="32"/>
        </w:rPr>
        <w:t>建立模型验证体系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建立模型验证机制，提供验证方法论、验证政策制度等。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建立模型验证相关报表，设立验证指标、验证报表、验证方法、验证标准等，协助实现系统功能开发。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napToGrid w:val="0"/>
          <w:kern w:val="0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楷体" w:cs="Times New Roman"/>
          <w:b w:val="0"/>
          <w:bCs/>
          <w:snapToGrid w:val="0"/>
          <w:kern w:val="0"/>
          <w:sz w:val="32"/>
          <w:szCs w:val="32"/>
        </w:rPr>
        <w:t>建立监控及报告体系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基于资产风险变化特征设置预期信用损失归因分析维度，识别异常变化，实现监控体系自动预警，提供监控指标及相应方法论。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完善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贵州农信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行内报告体系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（包括董事会、监事会、高级管理层、内部审计部门），设计内部报告各项模板，同时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提供全面评估报告模板。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设计报送监管部门模板，并协助指导行社完成报送。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i w:val="0"/>
          <w:iCs w:val="0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i w:val="0"/>
          <w:iCs w:val="0"/>
          <w:snapToGrid w:val="0"/>
          <w:kern w:val="0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楷体" w:cs="Times New Roman"/>
          <w:b w:val="0"/>
          <w:bCs/>
          <w:i w:val="0"/>
          <w:iCs w:val="0"/>
          <w:snapToGrid w:val="0"/>
          <w:kern w:val="0"/>
          <w:sz w:val="32"/>
          <w:szCs w:val="32"/>
        </w:rPr>
        <w:t>系统及数据</w:t>
      </w:r>
      <w:r>
        <w:rPr>
          <w:rFonts w:hint="eastAsia" w:ascii="Times New Roman" w:hAnsi="Times New Roman" w:eastAsia="楷体" w:cs="Times New Roman"/>
          <w:b w:val="0"/>
          <w:bCs/>
          <w:i w:val="0"/>
          <w:iCs w:val="0"/>
          <w:snapToGrid w:val="0"/>
          <w:kern w:val="0"/>
          <w:sz w:val="32"/>
          <w:szCs w:val="32"/>
          <w:lang w:eastAsia="zh-CN"/>
        </w:rPr>
        <w:t>系统优</w:t>
      </w:r>
      <w:r>
        <w:rPr>
          <w:rFonts w:hint="default" w:ascii="Times New Roman" w:hAnsi="Times New Roman" w:eastAsia="楷体" w:cs="Times New Roman"/>
          <w:b w:val="0"/>
          <w:bCs/>
          <w:i w:val="0"/>
          <w:iCs w:val="0"/>
          <w:snapToGrid w:val="0"/>
          <w:kern w:val="0"/>
          <w:sz w:val="32"/>
          <w:szCs w:val="32"/>
        </w:rPr>
        <w:t>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根据咨询成果协助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贵州农信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进行系统改造，制定相应的系统解决方案，包括系统数据、减值计量、监控验证等方面的系统优化方案，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并确保能实施落地，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提高预期信用损失法的系统自动化水平。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2.提出数据治理及管理建议，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为预期信用损失法模型参数提供数据支撑，确保对外披露的信用风险损失准备计提结果可以复现。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 w:bidi="ar-SA"/>
        </w:rPr>
        <w:t>3.协助完成因核算变化导致报表取数规则变化的梳理工作。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/>
          <w:snapToGrid w:val="0"/>
          <w:kern w:val="0"/>
          <w:sz w:val="32"/>
          <w:szCs w:val="32"/>
          <w:lang w:eastAsia="zh-CN"/>
        </w:rPr>
        <w:t>（七）</w:t>
      </w:r>
      <w:r>
        <w:rPr>
          <w:rFonts w:hint="default" w:ascii="Times New Roman" w:hAnsi="Times New Roman" w:eastAsia="楷体" w:cs="Times New Roman"/>
          <w:b w:val="0"/>
          <w:bCs/>
          <w:snapToGrid w:val="0"/>
          <w:kern w:val="0"/>
          <w:sz w:val="32"/>
          <w:szCs w:val="32"/>
        </w:rPr>
        <w:t>投产前验证</w:t>
      </w:r>
      <w:r>
        <w:rPr>
          <w:rFonts w:hint="eastAsia" w:ascii="Times New Roman" w:hAnsi="Times New Roman" w:eastAsia="楷体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" w:cs="Times New Roman"/>
          <w:b w:val="0"/>
          <w:bCs/>
          <w:snapToGrid w:val="0"/>
          <w:kern w:val="0"/>
          <w:sz w:val="32"/>
          <w:szCs w:val="32"/>
        </w:rPr>
        <w:t>投产后验</w:t>
      </w:r>
      <w:r>
        <w:rPr>
          <w:rFonts w:hint="default" w:ascii="Times New Roman" w:hAnsi="Times New Roman" w:eastAsia="楷体" w:cs="Times New Roman"/>
          <w:b w:val="0"/>
          <w:bCs/>
          <w:snapToGrid w:val="0"/>
          <w:kern w:val="0"/>
          <w:sz w:val="32"/>
          <w:szCs w:val="32"/>
          <w:highlight w:val="none"/>
        </w:rPr>
        <w:t>证</w:t>
      </w:r>
      <w:r>
        <w:rPr>
          <w:rFonts w:hint="eastAsia" w:ascii="Times New Roman" w:hAnsi="Times New Roman" w:eastAsia="楷体" w:cs="Times New Roman"/>
          <w:b w:val="0"/>
          <w:bCs/>
          <w:snapToGrid w:val="0"/>
          <w:kern w:val="0"/>
          <w:sz w:val="32"/>
          <w:szCs w:val="32"/>
          <w:highlight w:val="none"/>
          <w:lang w:eastAsia="zh-CN"/>
        </w:rPr>
        <w:t>和第三方验证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预期信用损失模型投产前验证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模型设计的合理性验证。通过定量和定性验证方法，对模型设计的合理性进行验证，包括对预期信用损失模型建模使用的数据、建模样本数据、相关业务数据进行验证，对取数及数据加工处理和清洗的规则进行检查，以确保数据的完整性、全面性、准确性、一致性达到监管要求及建模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参数设置的恰当性验证。对模型风险敞口划分、关键定义、阶段划分、多情景设置、前瞻性指标及预测结果、管理层叠加，以及模型中涉及的PD、LGD、EAD、CCF、存续期等模型重要参数设置规则进行验证，包括模型参数的有效性、预测能力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模型结果的可靠性验证。利用开发样本数据对计量模型结果进行检验，评估模型计量结果准确性，开展模型参数及结果的波动、前瞻性指标敏感性分析。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体系验证。主要包括与预期信用损失模型相配套的治理架构、报告体系、流程执行、数据管理等情况。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系统验证。对预期信用损失系统进行功能核验，主要包括相关数据的加工、减值计算逻辑的准确性和合理性等内容。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预期信用损失模型投产后验证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模型表现验证。利用历史数据对模型评估结果进行检验，评估模型结果的可靠性和准确性。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3.第三方验证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对贵州农信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预期信用损失法实施模型进行独立全面验证，验证内容包括实施范围、风险分组、阶段划分、预期信用损失法评估模型、前瞻性调整等。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验证报告。提供完整的预期信用损失模型验证报告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（包括投产前、投产后及第三方验证）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，涵盖模型验证方法论，模型开发方法论验证，模型结果验证等验证内容，并基于验证内容、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贵州农信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现状、监管要求等提出验证发现及改进意见。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napToGrid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napToGrid w:val="0"/>
          <w:kern w:val="0"/>
          <w:sz w:val="32"/>
          <w:szCs w:val="32"/>
          <w:lang w:eastAsia="zh-CN"/>
        </w:rPr>
        <w:t>（八）</w:t>
      </w:r>
      <w:r>
        <w:rPr>
          <w:rFonts w:hint="eastAsia" w:ascii="楷体_GB2312" w:hAnsi="楷体_GB2312" w:eastAsia="楷体_GB2312" w:cs="楷体_GB2312"/>
          <w:b w:val="0"/>
          <w:bCs/>
          <w:snapToGrid w:val="0"/>
          <w:kern w:val="0"/>
          <w:sz w:val="32"/>
          <w:szCs w:val="32"/>
        </w:rPr>
        <w:t>知识转移培训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根据项目的不同阶段和工作进度，设计分阶段、分层次、全方位的知识转移方案，包括但不限于介绍领先的行业实践，本项目的优化过程、模型建立、模型管理、监控验证、全面评估等内容进行系统培训，实现项目成果的知识转移及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3-5名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人才培养。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snapToGrid w:val="0"/>
          <w:kern w:val="0"/>
          <w:sz w:val="32"/>
          <w:szCs w:val="32"/>
          <w:lang w:val="en-US" w:eastAsia="zh-CN"/>
        </w:rPr>
        <w:t>（九）信息披露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设计信息披露模板及需披露的相关信息，如模型方法、参数信息等。</w:t>
      </w:r>
    </w:p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000000"/>
          <w:kern w:val="44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44"/>
          <w:sz w:val="32"/>
          <w:szCs w:val="32"/>
          <w:lang w:eastAsia="zh-CN" w:bidi="ar-SA"/>
        </w:rPr>
        <w:t>三、项目管理要求及成果交付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（一）项目管理要求</w:t>
      </w:r>
      <w:bookmarkStart w:id="1" w:name="_Toc45541488"/>
      <w:bookmarkStart w:id="2" w:name="_Toc247358690"/>
      <w:bookmarkStart w:id="3" w:name="_Toc423613179"/>
      <w:bookmarkStart w:id="4" w:name="_Toc24649279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中标方项目组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织架构</w:t>
      </w:r>
      <w:bookmarkEnd w:id="1"/>
      <w:bookmarkEnd w:id="2"/>
      <w:bookmarkEnd w:id="3"/>
      <w:bookmarkEnd w:id="4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中标方提供的项目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团队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须与其投标文件所提供的人员完全一致；否则必须经招标人书面同意后，方可更换人员。中标方必须提供稳定的人员,不得随意更换，遇特殊情况需更换人员的，必须提前15个工作日向招标方递交书面申请，经招标人面试及审批通过方可更换，否则按缺勤处理。招标人有权要求中标方更换不符合项目实施要求人员，且不能影响项目进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投标方应标时，须按以下格式提交项目组成员名单及简历。简历须包括相关工作年限、学历、相关资质证书、以往参与项目情况、在本项目承担的角色等。</w:t>
      </w:r>
    </w:p>
    <w:tbl>
      <w:tblPr>
        <w:tblStyle w:val="12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1134"/>
        <w:gridCol w:w="833"/>
        <w:gridCol w:w="1701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  <w:t>姓名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  <w:t>性别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  <w:t>身份证号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  <w:t>年龄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  <w:t>工作年限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  <w:t>毕业院校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  <w:t>专业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  <w:t>学历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  <w:t>在本项目承担的角色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firstLine="480" w:firstLineChars="200"/>
              <w:jc w:val="both"/>
              <w:rPr>
                <w:rFonts w:ascii="仿宋_GB2312" w:hAnsi="仿宋_GB2312" w:cs="仿宋_GB2312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  <w:t>相关资质证书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firstLine="480" w:firstLineChars="200"/>
              <w:jc w:val="both"/>
              <w:rPr>
                <w:rFonts w:ascii="仿宋_GB2312" w:hAnsi="仿宋_GB2312" w:cs="仿宋_GB2312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eastAsia="zh-CN" w:bidi="ar-SA"/>
              </w:rPr>
              <w:t>以往参与项目情况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firstLine="480" w:firstLineChars="200"/>
              <w:jc w:val="both"/>
              <w:rPr>
                <w:rFonts w:ascii="仿宋_GB2312" w:hAnsi="仿宋_GB2312" w:cs="仿宋_GB2312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咨询团队包括项目经理、业务专家和其他成员等，要求：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项目经理1名。须具有5年及以上咨询服务经验，担任过至少1个国有商业银行总行、全国性股份制商业银行总行、省级农村信用社（农商行）或其他资产规模5000亿（含）以上商业银行的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预期信用损失法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项目咨询服务的项目经理（项目总监）经验，且中标后保证专职于此项目，能够全程参与、管控项目进度。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业务专家。业务专家须具有3年及以上咨询服务经验，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具备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至少1个国有商业银行总行、全国性股份制商业银行总行、省级农村信用社（农商行）或其他资产规模2000亿（含）以上商业银行的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预期信用损失法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项目咨询服务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，且中标后保证专职于此项目，能够全程参与、管控项目进度。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其他成员。应至少参与过1个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预期信用社损失法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咨询服务项目。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以上人员资质为本项目基本要求，投标方可提供更高资质的各级别人员，并在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相应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文件中详细描述。</w:t>
      </w:r>
    </w:p>
    <w:p>
      <w:pPr>
        <w:pStyle w:val="2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bookmarkStart w:id="5" w:name="_Toc45541489"/>
      <w:bookmarkStart w:id="6" w:name="_Toc246492793"/>
      <w:bookmarkStart w:id="7" w:name="_Toc247358695"/>
      <w:bookmarkStart w:id="8" w:name="_Toc246469703"/>
      <w:bookmarkStart w:id="9" w:name="_Toc245888263"/>
      <w:bookmarkStart w:id="10" w:name="_Toc423613182"/>
      <w:r>
        <w:rPr>
          <w:rFonts w:hint="default" w:ascii="Times New Roman" w:hAnsi="Times New Roman" w:eastAsia="仿宋_GB2312" w:cs="Times New Roman"/>
          <w:sz w:val="32"/>
          <w:szCs w:val="32"/>
        </w:rPr>
        <w:t>质量管理</w:t>
      </w:r>
      <w:bookmarkEnd w:id="5"/>
      <w:bookmarkEnd w:id="6"/>
      <w:bookmarkEnd w:id="7"/>
      <w:bookmarkEnd w:id="8"/>
      <w:bookmarkEnd w:id="9"/>
      <w:bookmarkEnd w:id="10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中标方须建立独立于项目设计与实施的质量保证机制，建立一套全面的项目质量管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理体系。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中标方需要有质量保证人员来对项目的设计与实施进行审查，从而保证工作过程和项目的质量。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中标方须进行质量监测和关键点的质量评估。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中标方须编制项目的质量保障计划。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为保证项目的正常运行，投标方应提供项目执行跟踪和监控的具体措施，措施应包括项目状态周报制度、每周项目例会制度、阶段总结制度等。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中标方须建立项目变更流程，记录项目变更。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3.工作规范要求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 w:bidi="ar-SA"/>
        </w:rPr>
        <w:t>（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遵守国家法律和政府的有关条例、规定和办法，以及贵州农信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相关管理规定开展工作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 w:bidi="ar-SA"/>
        </w:rPr>
        <w:t>（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eastAsia="zh-CN" w:bidi="ar-SA"/>
        </w:rPr>
        <w:t>中标方需充分利用贵州农信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现有风险管理成果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eastAsia="zh-CN" w:bidi="ar-SA"/>
        </w:rPr>
        <w:t>，在此基础上进行充分的需求分析与讨论，再撰写业务需求说明书和软件需求说明书。并在后续项目实施落地过程中，通过指派陪跑方式，确保需求成功落地投产。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 w:bidi="ar-SA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eastAsia="zh-CN" w:bidi="ar-SA"/>
        </w:rPr>
        <w:t>在项目重要节点，根据招标方要求提供完整准确、详实生动的汇报材料，配合招标方进行汇报和宣讲工作。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 w:bidi="ar-SA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eastAsia="zh-CN" w:bidi="ar-SA"/>
        </w:rPr>
        <w:t>中标方需帮助招标方培养需求分析团队，招标方项目组成员将全程参与咨询全部过程，中标方需积极配合。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 w:bidi="ar-SA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按照项目时间要求完成相应交付品，且确保文档的形式和内容满足要求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 w:bidi="ar-SA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保证充分的知识转移工作，确保项目组及招标方相关人员已掌握相应原理和方法论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eastAsia="zh-CN" w:bidi="ar-SA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（7）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协助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并指导招标方开展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系统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验收工作。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（8）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各项工作内容交付物应包括工作过程中产生的文档、工作成果、分析报告（如有）以及与项目有关的其他重要文件。文档应同时以电子和纸质形式交付，文档内容应完整详实、数据准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确、论证充分，且结论明确。经双方确认的关键性文档应由出具人签字，并加盖公章及相关印章。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（二）项目交付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中标方必须在合同规</w:t>
      </w:r>
      <w:r>
        <w:rPr>
          <w:rFonts w:hint="eastAsia" w:ascii="仿宋_GB2312" w:hAnsi="仿宋_GB2312" w:eastAsia="仿宋_GB2312" w:cs="仿宋_GB2312"/>
          <w:sz w:val="32"/>
          <w:szCs w:val="32"/>
        </w:rPr>
        <w:t>定时间内，完成本项目的咨询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将招标范围内所界定的工作完成。在通过验收后，中标方需将所有项目成果交付给招标方。交付的所有文档均应提交电子版及印刷版，另有说明的除外，交付物内容必须与实际工作情况相一致，其质量必须符合招标方的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包括但不限于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12"/>
        <w:tblW w:w="831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6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1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项目阶段</w:t>
            </w:r>
          </w:p>
        </w:tc>
        <w:tc>
          <w:tcPr>
            <w:tcW w:w="64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主要交付物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2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项目启动阶段</w:t>
            </w: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项目总体计划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2" w:type="dxa"/>
            <w:vMerge w:val="continue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启动会汇报材料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2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项目实施阶段</w:t>
            </w: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预期信用损失法现状诊断与差距分析报告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912" w:type="dxa"/>
            <w:vMerge w:val="continue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预期信用损失法实施管理制度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1.修订现行减值相关制度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2.预期信用损失法实施管理办法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912" w:type="dxa"/>
            <w:vMerge w:val="continue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模型优化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1.预期信用损失法模型优化方案（即对现有预期信用损失减值模型全面优化方案）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2.预期信用损失模型方法论及其操作手册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3.预期信用损失优化影响分析报告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912" w:type="dxa"/>
            <w:vMerge w:val="continue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模型验证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1.预期信用损失法模型内部验证制度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2.预期信用损失法模型内部验证报告（含投产前验证、投产后验证、第三方验证）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2" w:type="dxa"/>
            <w:vMerge w:val="continue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信息披露相关模板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2" w:type="dxa"/>
            <w:vMerge w:val="continue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系统改造需求说明书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项目报告阶段</w:t>
            </w: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预期信用损失法实施情况报告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知识转移阶段</w:t>
            </w: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预期信用损失法实施概要及监管差距分析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风险分组方法论和同业实践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阶段划分方法论和同业实践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预期信用损失中宏观经济前瞻性调整的同业实践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前瞻性模型建模方法论和同业实践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管理层叠加模型的同业实践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预期信用损失模型验证方法论和同业实践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预期信用损失模型监控和评估方案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模型风险管理同业实践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本项目优化成果及影响分析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根据项目进度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开展多次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预期信用损失法相关培训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2" w:type="dxa"/>
            <w:vMerge w:val="restart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项目周报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2" w:type="dxa"/>
            <w:vMerge w:val="continue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项目月报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Merge w:val="continue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会议纪要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Merge w:val="continue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问题/事件报告</w:t>
            </w: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四、维保服务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本次招标所采购咨询服务的后续支持工作，提供1年免费咨询维护服务，协助招标人复核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预期信用损失法执行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结果，检查、调整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风险分组、阶段划分、预期信用损失法评估模型、前瞻性调整等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，提出方案优化、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重检修正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、减值模型重估等解决方案。协助招标人做好执行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预期信用损失法对监管部门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的咨询解释工作。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协助本系统与各外围系统集成问题的诊断和处理。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投标人对项目的售后服务承诺应在投标文件中予以详细说明，含免费服务和付费服务以及培训承诺、其他服务项目的详细说明等。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（四）中标方在保障咨询期间提供的咨询服务应规范、及时、有效、准确，确保不发生咨询结果偏离实际的情</w:t>
      </w:r>
      <w:bookmarkStart w:id="11" w:name="_GoBack"/>
      <w:bookmarkEnd w:id="1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况。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8377A"/>
    <w:multiLevelType w:val="multilevel"/>
    <w:tmpl w:val="54C8377A"/>
    <w:lvl w:ilvl="0" w:tentative="0">
      <w:start w:val="1"/>
      <w:numFmt w:val="chineseCountingThousand"/>
      <w:suff w:val="space"/>
      <w:lvlText w:val="第%1章"/>
      <w:lvlJc w:val="left"/>
      <w:pPr>
        <w:ind w:left="432" w:hanging="432"/>
      </w:pPr>
      <w:rPr>
        <w:rFonts w:hint="eastAsia"/>
      </w:rPr>
    </w:lvl>
    <w:lvl w:ilvl="1" w:tentative="0">
      <w:start w:val="1"/>
      <w:numFmt w:val="chineseCountingThousand"/>
      <w:pStyle w:val="2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2"/>
      <w:numFmt w:val="decimal"/>
      <w:isLgl/>
      <w:suff w:val="space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suff w:val="space"/>
      <w:lvlText w:val="%2.%3.%4"/>
      <w:lvlJc w:val="left"/>
      <w:pPr>
        <w:ind w:left="1857" w:hanging="86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C3EDD"/>
    <w:rsid w:val="03823941"/>
    <w:rsid w:val="038417EA"/>
    <w:rsid w:val="061570E3"/>
    <w:rsid w:val="077C0448"/>
    <w:rsid w:val="08FF2FF4"/>
    <w:rsid w:val="0A7A1740"/>
    <w:rsid w:val="0AF01D44"/>
    <w:rsid w:val="0CCE1F8E"/>
    <w:rsid w:val="0E0438DD"/>
    <w:rsid w:val="0F606597"/>
    <w:rsid w:val="11EA35E4"/>
    <w:rsid w:val="16F756CC"/>
    <w:rsid w:val="19D26025"/>
    <w:rsid w:val="19DE0ED2"/>
    <w:rsid w:val="1F3C2814"/>
    <w:rsid w:val="249C1A62"/>
    <w:rsid w:val="27AC4161"/>
    <w:rsid w:val="28492945"/>
    <w:rsid w:val="2B21430E"/>
    <w:rsid w:val="307166FA"/>
    <w:rsid w:val="30846A08"/>
    <w:rsid w:val="352D7510"/>
    <w:rsid w:val="37385F99"/>
    <w:rsid w:val="39D23C01"/>
    <w:rsid w:val="447777A4"/>
    <w:rsid w:val="4B2E724D"/>
    <w:rsid w:val="5483451B"/>
    <w:rsid w:val="559A0C52"/>
    <w:rsid w:val="55D60784"/>
    <w:rsid w:val="57150336"/>
    <w:rsid w:val="5B0A7134"/>
    <w:rsid w:val="6269133A"/>
    <w:rsid w:val="66952620"/>
    <w:rsid w:val="69235F24"/>
    <w:rsid w:val="692741D0"/>
    <w:rsid w:val="6E3C6B29"/>
    <w:rsid w:val="71BE7C46"/>
    <w:rsid w:val="73EC6C25"/>
    <w:rsid w:val="76E41B4E"/>
    <w:rsid w:val="78B41CB5"/>
    <w:rsid w:val="78E6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99"/>
    <w:pPr>
      <w:keepNext/>
      <w:keepLines/>
      <w:numPr>
        <w:ilvl w:val="1"/>
        <w:numId w:val="1"/>
      </w:numPr>
      <w:adjustRightInd w:val="0"/>
      <w:snapToGrid w:val="0"/>
      <w:spacing w:before="120" w:after="120"/>
      <w:jc w:val="both"/>
      <w:outlineLvl w:val="1"/>
    </w:pPr>
    <w:rPr>
      <w:rFonts w:ascii="黑体" w:hAnsi="黑体" w:eastAsia="黑体" w:cs="黑体"/>
      <w:bCs/>
      <w:kern w:val="2"/>
      <w:sz w:val="24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99"/>
    <w:rPr>
      <w:sz w:val="16"/>
      <w:szCs w:val="16"/>
    </w:rPr>
  </w:style>
  <w:style w:type="paragraph" w:styleId="4">
    <w:name w:val="Body Text"/>
    <w:basedOn w:val="1"/>
    <w:next w:val="5"/>
    <w:qFormat/>
    <w:uiPriority w:val="0"/>
    <w:pPr>
      <w:spacing w:after="120" w:afterLines="0"/>
    </w:pPr>
  </w:style>
  <w:style w:type="paragraph" w:styleId="5">
    <w:name w:val="Date"/>
    <w:basedOn w:val="1"/>
    <w:next w:val="1"/>
    <w:qFormat/>
    <w:uiPriority w:val="0"/>
    <w:rPr>
      <w:kern w:val="2"/>
      <w:sz w:val="24"/>
      <w:szCs w:val="20"/>
      <w:lang w:bidi="ar-SA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widowControl/>
      <w:snapToGrid w:val="0"/>
      <w:spacing w:line="240" w:lineRule="auto"/>
      <w:jc w:val="left"/>
    </w:pPr>
    <w:rPr>
      <w:rFonts w:ascii="Arial" w:hAnsi="Arial" w:cs="宋体"/>
      <w:kern w:val="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4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styleId="11">
    <w:name w:val="Body Text First Indent 2"/>
    <w:basedOn w:val="6"/>
    <w:semiHidden/>
    <w:unhideWhenUsed/>
    <w:qFormat/>
    <w:uiPriority w:val="99"/>
    <w:pPr>
      <w:ind w:firstLine="420" w:firstLineChars="200"/>
    </w:pPr>
  </w:style>
  <w:style w:type="paragraph" w:customStyle="1" w:styleId="14">
    <w:name w:val="PwC Normal"/>
    <w:basedOn w:val="1"/>
    <w:qFormat/>
    <w:uiPriority w:val="99"/>
    <w:pPr>
      <w:spacing w:before="180" w:after="180" w:line="240" w:lineRule="atLeast"/>
    </w:pPr>
  </w:style>
  <w:style w:type="paragraph" w:styleId="1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2023-08-07T14:03:00Z</dcterms:created>
  <dc:creator>Administrator</dc:creator>
  <cp:lastModifiedBy>100171-石经</cp:lastModifiedBy>
  <dcterms:modified xsi:type="dcterms:W3CDTF">2023-08-11T06:07:07Z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