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DD" w:rsidRDefault="00DD6A95">
      <w:pPr>
        <w:widowControl/>
        <w:textAlignment w:val="center"/>
        <w:rPr>
          <w:rFonts w:ascii="微软简仿宋" w:eastAsia="微软简仿宋" w:hAnsi="微软简仿宋" w:cs="微软简仿宋"/>
          <w:b/>
          <w:bCs/>
          <w:color w:val="000000"/>
          <w:kern w:val="0"/>
          <w:sz w:val="32"/>
          <w:szCs w:val="32"/>
          <w:lang w:bidi="ar"/>
        </w:rPr>
      </w:pPr>
      <w:r>
        <w:rPr>
          <w:rFonts w:ascii="微软简仿宋" w:eastAsia="微软简仿宋" w:hAnsi="微软简仿宋" w:cs="微软简仿宋" w:hint="eastAsia"/>
          <w:b/>
          <w:bCs/>
          <w:color w:val="000000"/>
          <w:kern w:val="0"/>
          <w:sz w:val="32"/>
          <w:szCs w:val="32"/>
          <w:lang w:bidi="ar"/>
        </w:rPr>
        <w:t>附件</w:t>
      </w:r>
      <w:r>
        <w:rPr>
          <w:rFonts w:ascii="微软简仿宋" w:eastAsia="微软简仿宋" w:hAnsi="微软简仿宋" w:cs="微软简仿宋" w:hint="eastAsia"/>
          <w:b/>
          <w:bCs/>
          <w:color w:val="000000"/>
          <w:kern w:val="0"/>
          <w:sz w:val="32"/>
          <w:szCs w:val="32"/>
          <w:lang w:bidi="ar"/>
        </w:rPr>
        <w:t>1</w:t>
      </w:r>
    </w:p>
    <w:p w:rsidR="006B4DDD" w:rsidRDefault="006B4DDD">
      <w:pPr>
        <w:spacing w:line="560" w:lineRule="exact"/>
        <w:jc w:val="center"/>
        <w:rPr>
          <w:rFonts w:ascii="方正大标宋简体" w:eastAsia="方正大标宋简体" w:hAnsi="方正大标宋简体" w:cs="方正大标宋简体"/>
          <w:sz w:val="44"/>
          <w:szCs w:val="44"/>
        </w:rPr>
      </w:pPr>
    </w:p>
    <w:p w:rsidR="006B4DDD" w:rsidRDefault="00DD6A95">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国密</w:t>
      </w:r>
      <w:r>
        <w:rPr>
          <w:rFonts w:ascii="方正大标宋简体" w:eastAsia="方正大标宋简体" w:hAnsi="方正大标宋简体" w:cs="方正大标宋简体" w:hint="eastAsia"/>
          <w:sz w:val="44"/>
          <w:szCs w:val="44"/>
        </w:rPr>
        <w:t>SSL</w:t>
      </w:r>
      <w:r>
        <w:rPr>
          <w:rFonts w:ascii="方正大标宋简体" w:eastAsia="方正大标宋简体" w:hAnsi="方正大标宋简体" w:cs="方正大标宋简体" w:hint="eastAsia"/>
          <w:sz w:val="44"/>
          <w:szCs w:val="44"/>
        </w:rPr>
        <w:t>代理网关设备采购技术方案</w:t>
      </w:r>
    </w:p>
    <w:p w:rsidR="006B4DDD" w:rsidRPr="00FA7BC2" w:rsidRDefault="006B4DDD">
      <w:pPr>
        <w:ind w:left="482"/>
        <w:rPr>
          <w:b/>
          <w:bCs/>
        </w:rPr>
      </w:pPr>
      <w:bookmarkStart w:id="0" w:name="_GoBack"/>
      <w:bookmarkEnd w:id="0"/>
    </w:p>
    <w:p w:rsidR="006B4DDD" w:rsidRDefault="006B4DDD">
      <w:pPr>
        <w:ind w:firstLineChars="200" w:firstLine="420"/>
      </w:pPr>
    </w:p>
    <w:p w:rsidR="006B4DDD" w:rsidRDefault="00DD6A95">
      <w:pPr>
        <w:outlineLvl w:val="0"/>
        <w:rPr>
          <w:rFonts w:ascii="黑体" w:eastAsia="黑体" w:hAnsi="黑体" w:cs="黑体"/>
          <w:b/>
          <w:bCs/>
          <w:sz w:val="32"/>
          <w:szCs w:val="32"/>
        </w:rPr>
      </w:pPr>
      <w:r>
        <w:rPr>
          <w:rFonts w:ascii="黑体" w:eastAsia="黑体" w:hAnsi="黑体" w:cs="黑体" w:hint="eastAsia"/>
          <w:b/>
          <w:bCs/>
          <w:sz w:val="32"/>
          <w:szCs w:val="32"/>
        </w:rPr>
        <w:t>一</w:t>
      </w:r>
      <w:r>
        <w:rPr>
          <w:rFonts w:ascii="黑体" w:eastAsia="黑体" w:hAnsi="黑体" w:cs="黑体" w:hint="eastAsia"/>
          <w:b/>
          <w:bCs/>
          <w:sz w:val="32"/>
          <w:szCs w:val="32"/>
        </w:rPr>
        <w:t>、项目概况及组网需求</w:t>
      </w:r>
    </w:p>
    <w:p w:rsidR="006B4DDD" w:rsidRDefault="00DD6A95">
      <w:pPr>
        <w:pStyle w:val="a0"/>
        <w:ind w:firstLine="420"/>
        <w:rPr>
          <w:rFonts w:asciiTheme="minorHAnsi" w:eastAsiaTheme="minorEastAsia" w:hAnsiTheme="minorHAnsi" w:cstheme="minorBidi"/>
          <w:color w:val="auto"/>
        </w:rPr>
      </w:pPr>
      <w:r>
        <w:rPr>
          <w:rFonts w:asciiTheme="minorHAnsi" w:eastAsiaTheme="minorEastAsia" w:hAnsiTheme="minorHAnsi" w:cstheme="minorBidi" w:hint="eastAsia"/>
          <w:color w:val="auto"/>
        </w:rPr>
        <w:t>为进一步提升中国人民银行征信系统与接入机构对接系统间数据传输的安全性，人行已完成征信系统服务端对外</w:t>
      </w:r>
      <w:r>
        <w:rPr>
          <w:rFonts w:asciiTheme="minorHAnsi" w:eastAsiaTheme="minorEastAsia" w:hAnsiTheme="minorHAnsi" w:cstheme="minorBidi" w:hint="eastAsia"/>
          <w:color w:val="auto"/>
        </w:rPr>
        <w:t xml:space="preserve">Web </w:t>
      </w:r>
      <w:r>
        <w:rPr>
          <w:rFonts w:asciiTheme="minorHAnsi" w:eastAsiaTheme="minorEastAsia" w:hAnsiTheme="minorHAnsi" w:cstheme="minorBidi" w:hint="eastAsia"/>
          <w:color w:val="auto"/>
        </w:rPr>
        <w:t>Service</w:t>
      </w:r>
      <w:r>
        <w:rPr>
          <w:rFonts w:asciiTheme="minorHAnsi" w:eastAsiaTheme="minorEastAsia" w:hAnsiTheme="minorHAnsi" w:cstheme="minorBidi" w:hint="eastAsia"/>
          <w:color w:val="auto"/>
        </w:rPr>
        <w:t>接口</w:t>
      </w:r>
      <w:r>
        <w:rPr>
          <w:rFonts w:asciiTheme="minorHAnsi" w:eastAsiaTheme="minorEastAsia" w:hAnsiTheme="minorHAnsi" w:cstheme="minorBidi" w:hint="eastAsia"/>
          <w:color w:val="auto"/>
        </w:rPr>
        <w:t>SM2</w:t>
      </w:r>
      <w:r>
        <w:rPr>
          <w:rFonts w:asciiTheme="minorHAnsi" w:eastAsiaTheme="minorEastAsia" w:hAnsiTheme="minorHAnsi" w:cstheme="minorBidi" w:hint="eastAsia"/>
          <w:color w:val="auto"/>
        </w:rPr>
        <w:t>国密升级改造工作，要求各接入机构配合完成此次征信系统升级改造，调用征信接口的接入机构作为发起方，采用单向验证方式向征信中心端发起</w:t>
      </w:r>
      <w:r>
        <w:rPr>
          <w:rFonts w:asciiTheme="minorHAnsi" w:eastAsiaTheme="minorEastAsia" w:hAnsiTheme="minorHAnsi" w:cstheme="minorBidi" w:hint="eastAsia"/>
          <w:color w:val="auto"/>
        </w:rPr>
        <w:t>SSL</w:t>
      </w:r>
      <w:r>
        <w:rPr>
          <w:rFonts w:asciiTheme="minorHAnsi" w:eastAsiaTheme="minorEastAsia" w:hAnsiTheme="minorHAnsi" w:cstheme="minorBidi" w:hint="eastAsia"/>
          <w:color w:val="auto"/>
        </w:rPr>
        <w:t>协商（算法套件为</w:t>
      </w:r>
      <w:r>
        <w:rPr>
          <w:rFonts w:asciiTheme="minorHAnsi" w:eastAsiaTheme="minorEastAsia" w:hAnsiTheme="minorHAnsi" w:cstheme="minorBidi" w:hint="eastAsia"/>
          <w:color w:val="auto"/>
        </w:rPr>
        <w:t>ECDHE_SM4_CBC_SM3(0xe011)</w:t>
      </w:r>
      <w:r>
        <w:rPr>
          <w:rFonts w:asciiTheme="minorHAnsi" w:eastAsiaTheme="minorEastAsia" w:hAnsiTheme="minorHAnsi" w:cstheme="minorBidi" w:hint="eastAsia"/>
          <w:color w:val="auto"/>
        </w:rPr>
        <w:t>、</w:t>
      </w:r>
      <w:r>
        <w:rPr>
          <w:rFonts w:asciiTheme="minorHAnsi" w:eastAsiaTheme="minorEastAsia" w:hAnsiTheme="minorHAnsi" w:cstheme="minorBidi" w:hint="eastAsia"/>
          <w:color w:val="auto"/>
        </w:rPr>
        <w:t xml:space="preserve"> ECC_SM4_CBC_SM3(0xe013)</w:t>
      </w:r>
      <w:r>
        <w:rPr>
          <w:rFonts w:asciiTheme="minorHAnsi" w:eastAsiaTheme="minorEastAsia" w:hAnsiTheme="minorHAnsi" w:cstheme="minorBidi" w:hint="eastAsia"/>
          <w:color w:val="auto"/>
        </w:rPr>
        <w:t>、</w:t>
      </w:r>
      <w:r>
        <w:rPr>
          <w:rFonts w:asciiTheme="minorHAnsi" w:eastAsiaTheme="minorEastAsia" w:hAnsiTheme="minorHAnsi" w:cstheme="minorBidi" w:hint="eastAsia"/>
          <w:color w:val="auto"/>
        </w:rPr>
        <w:t>ECDHE_SM4_GCM_SM3(0xe051)</w:t>
      </w:r>
      <w:r>
        <w:rPr>
          <w:rFonts w:asciiTheme="minorHAnsi" w:eastAsiaTheme="minorEastAsia" w:hAnsiTheme="minorHAnsi" w:cstheme="minorBidi" w:hint="eastAsia"/>
          <w:color w:val="auto"/>
        </w:rPr>
        <w:t>、</w:t>
      </w:r>
      <w:r>
        <w:rPr>
          <w:rFonts w:asciiTheme="minorHAnsi" w:eastAsiaTheme="minorEastAsia" w:hAnsiTheme="minorHAnsi" w:cstheme="minorBidi" w:hint="eastAsia"/>
          <w:color w:val="auto"/>
        </w:rPr>
        <w:t>ECC_SM4_GCM_SM3(0xe053)</w:t>
      </w:r>
      <w:r>
        <w:rPr>
          <w:rFonts w:asciiTheme="minorHAnsi" w:eastAsiaTheme="minorEastAsia" w:hAnsiTheme="minorHAnsi" w:cstheme="minorBidi" w:hint="eastAsia"/>
          <w:color w:val="auto"/>
        </w:rPr>
        <w:t>）。结合我社系统建设现状，需配套采购部署国密</w:t>
      </w:r>
      <w:r>
        <w:rPr>
          <w:rFonts w:asciiTheme="minorHAnsi" w:eastAsiaTheme="minorEastAsia" w:hAnsiTheme="minorHAnsi" w:cstheme="minorBidi" w:hint="eastAsia"/>
          <w:color w:val="auto"/>
        </w:rPr>
        <w:t>SSL</w:t>
      </w:r>
      <w:r>
        <w:rPr>
          <w:rFonts w:asciiTheme="minorHAnsi" w:eastAsiaTheme="minorEastAsia" w:hAnsiTheme="minorHAnsi" w:cstheme="minorBidi" w:hint="eastAsia"/>
          <w:color w:val="auto"/>
        </w:rPr>
        <w:t>代理网关设备用于对接系统升级。</w:t>
      </w:r>
    </w:p>
    <w:p w:rsidR="006B4DDD" w:rsidRDefault="00DD6A95">
      <w:pPr>
        <w:pStyle w:val="a0"/>
        <w:ind w:firstLine="420"/>
        <w:rPr>
          <w:rFonts w:asciiTheme="minorHAnsi" w:eastAsiaTheme="minorEastAsia" w:hAnsiTheme="minorHAnsi" w:cstheme="minorBidi"/>
          <w:color w:val="auto"/>
        </w:rPr>
      </w:pPr>
      <w:r>
        <w:rPr>
          <w:rFonts w:asciiTheme="minorHAnsi" w:eastAsiaTheme="minorEastAsia" w:hAnsiTheme="minorHAnsi" w:cstheme="minorBidi" w:hint="eastAsia"/>
          <w:noProof/>
          <w:color w:val="auto"/>
        </w:rPr>
        <w:drawing>
          <wp:inline distT="0" distB="0" distL="114300" distR="114300">
            <wp:extent cx="5266690" cy="1736090"/>
            <wp:effectExtent l="0" t="0" r="10160" b="16510"/>
            <wp:docPr id="1" name="图片 1" descr="168831240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312403989"/>
                    <pic:cNvPicPr>
                      <a:picLocks noChangeAspect="1"/>
                    </pic:cNvPicPr>
                  </pic:nvPicPr>
                  <pic:blipFill>
                    <a:blip r:embed="rId7"/>
                    <a:stretch>
                      <a:fillRect/>
                    </a:stretch>
                  </pic:blipFill>
                  <pic:spPr>
                    <a:xfrm>
                      <a:off x="0" y="0"/>
                      <a:ext cx="5266690" cy="1736090"/>
                    </a:xfrm>
                    <a:prstGeom prst="rect">
                      <a:avLst/>
                    </a:prstGeom>
                  </pic:spPr>
                </pic:pic>
              </a:graphicData>
            </a:graphic>
          </wp:inline>
        </w:drawing>
      </w:r>
    </w:p>
    <w:p w:rsidR="006B4DDD" w:rsidRDefault="00DD6A95">
      <w:pPr>
        <w:pStyle w:val="a0"/>
        <w:ind w:firstLine="420"/>
        <w:jc w:val="center"/>
        <w:rPr>
          <w:rFonts w:asciiTheme="minorEastAsia" w:hAnsiTheme="minorEastAsia"/>
          <w:szCs w:val="21"/>
        </w:rPr>
      </w:pPr>
      <w:r>
        <w:rPr>
          <w:rFonts w:hint="eastAsia"/>
        </w:rPr>
        <w:t>图</w:t>
      </w:r>
      <w:r>
        <w:rPr>
          <w:rFonts w:hint="eastAsia"/>
        </w:rPr>
        <w:t xml:space="preserve">1 </w:t>
      </w:r>
      <w:r>
        <w:rPr>
          <w:rFonts w:asciiTheme="minorEastAsia" w:hAnsiTheme="minorEastAsia" w:hint="eastAsia"/>
          <w:szCs w:val="21"/>
        </w:rPr>
        <w:t>国密</w:t>
      </w:r>
      <w:r>
        <w:rPr>
          <w:rFonts w:asciiTheme="minorEastAsia" w:hAnsiTheme="minorEastAsia" w:hint="eastAsia"/>
          <w:szCs w:val="21"/>
        </w:rPr>
        <w:t>SSL</w:t>
      </w:r>
      <w:r>
        <w:rPr>
          <w:rFonts w:asciiTheme="minorEastAsia" w:hAnsiTheme="minorEastAsia" w:hint="eastAsia"/>
          <w:szCs w:val="21"/>
        </w:rPr>
        <w:t>代理网关</w:t>
      </w:r>
      <w:r>
        <w:rPr>
          <w:rFonts w:asciiTheme="minorEastAsia" w:hAnsiTheme="minorEastAsia" w:hint="eastAsia"/>
          <w:szCs w:val="21"/>
        </w:rPr>
        <w:t>设备组网架构示意图</w:t>
      </w:r>
    </w:p>
    <w:p w:rsidR="006B4DDD" w:rsidRDefault="00DD6A95">
      <w:pPr>
        <w:pStyle w:val="a0"/>
        <w:ind w:firstLine="420"/>
        <w:jc w:val="center"/>
        <w:rPr>
          <w:rFonts w:asciiTheme="minorEastAsia" w:hAnsiTheme="minorEastAsia"/>
          <w:szCs w:val="21"/>
        </w:rPr>
      </w:pPr>
      <w:r>
        <w:rPr>
          <w:rFonts w:asciiTheme="minorEastAsia" w:hAnsiTheme="minorEastAsia" w:hint="eastAsia"/>
          <w:noProof/>
          <w:szCs w:val="21"/>
        </w:rPr>
        <w:drawing>
          <wp:inline distT="0" distB="0" distL="114300" distR="114300">
            <wp:extent cx="5269230" cy="1783715"/>
            <wp:effectExtent l="0" t="0" r="7620" b="6985"/>
            <wp:docPr id="2" name="图片 2" descr="1688313136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8313136870"/>
                    <pic:cNvPicPr>
                      <a:picLocks noChangeAspect="1"/>
                    </pic:cNvPicPr>
                  </pic:nvPicPr>
                  <pic:blipFill>
                    <a:blip r:embed="rId8"/>
                    <a:stretch>
                      <a:fillRect/>
                    </a:stretch>
                  </pic:blipFill>
                  <pic:spPr>
                    <a:xfrm>
                      <a:off x="0" y="0"/>
                      <a:ext cx="5269230" cy="1783715"/>
                    </a:xfrm>
                    <a:prstGeom prst="rect">
                      <a:avLst/>
                    </a:prstGeom>
                  </pic:spPr>
                </pic:pic>
              </a:graphicData>
            </a:graphic>
          </wp:inline>
        </w:drawing>
      </w:r>
    </w:p>
    <w:p w:rsidR="006B4DDD" w:rsidRDefault="00DD6A95">
      <w:pPr>
        <w:pStyle w:val="a0"/>
        <w:ind w:firstLine="420"/>
        <w:jc w:val="center"/>
        <w:rPr>
          <w:rFonts w:asciiTheme="minorEastAsia" w:hAnsiTheme="minorEastAsia"/>
          <w:szCs w:val="21"/>
        </w:rPr>
      </w:pPr>
      <w:r>
        <w:rPr>
          <w:rFonts w:hint="eastAsia"/>
        </w:rPr>
        <w:t>图</w:t>
      </w:r>
      <w:r>
        <w:rPr>
          <w:rFonts w:hint="eastAsia"/>
        </w:rPr>
        <w:t>2</w:t>
      </w:r>
      <w:r>
        <w:rPr>
          <w:rFonts w:hint="eastAsia"/>
        </w:rPr>
        <w:t xml:space="preserve"> </w:t>
      </w:r>
      <w:r>
        <w:rPr>
          <w:rFonts w:asciiTheme="minorEastAsia" w:hAnsiTheme="minorEastAsia" w:hint="eastAsia"/>
          <w:szCs w:val="21"/>
        </w:rPr>
        <w:t>二代征信业务流程</w:t>
      </w:r>
      <w:r>
        <w:rPr>
          <w:rFonts w:asciiTheme="minorEastAsia" w:hAnsiTheme="minorEastAsia" w:hint="eastAsia"/>
          <w:szCs w:val="21"/>
        </w:rPr>
        <w:t>示意图</w:t>
      </w:r>
    </w:p>
    <w:p w:rsidR="006B4DDD" w:rsidRDefault="00DD6A95">
      <w:pPr>
        <w:outlineLvl w:val="0"/>
        <w:rPr>
          <w:rFonts w:ascii="黑体" w:eastAsia="黑体" w:hAnsi="黑体" w:cs="黑体"/>
          <w:b/>
          <w:bCs/>
          <w:sz w:val="32"/>
          <w:szCs w:val="32"/>
        </w:rPr>
      </w:pPr>
      <w:r>
        <w:rPr>
          <w:rFonts w:ascii="黑体" w:eastAsia="黑体" w:hAnsi="黑体" w:cs="黑体" w:hint="eastAsia"/>
          <w:b/>
          <w:bCs/>
          <w:sz w:val="32"/>
          <w:szCs w:val="32"/>
        </w:rPr>
        <w:t>二</w:t>
      </w:r>
      <w:r>
        <w:rPr>
          <w:rFonts w:ascii="黑体" w:eastAsia="黑体" w:hAnsi="黑体" w:cs="黑体" w:hint="eastAsia"/>
          <w:b/>
          <w:bCs/>
          <w:sz w:val="32"/>
          <w:szCs w:val="32"/>
        </w:rPr>
        <w:t>、项目建设要求</w:t>
      </w:r>
    </w:p>
    <w:p w:rsidR="006B4DDD" w:rsidRDefault="00DD6A95">
      <w:pPr>
        <w:ind w:firstLineChars="200" w:firstLine="422"/>
        <w:rPr>
          <w:rFonts w:asciiTheme="minorEastAsia" w:hAnsiTheme="minorEastAsia" w:cs="宋体"/>
          <w:b/>
          <w:szCs w:val="21"/>
        </w:rPr>
      </w:pPr>
      <w:r>
        <w:rPr>
          <w:rFonts w:asciiTheme="minorEastAsia" w:hAnsiTheme="minorEastAsia" w:cs="宋体" w:hint="eastAsia"/>
          <w:b/>
          <w:szCs w:val="21"/>
        </w:rPr>
        <w:t>（一）总体要求</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、本项目所涉及的产品技术服务须由原产品厂商专家技术团队完成。工作包括但不限于总体项目管理、概要方案设计、详细方案设计、设备安装调试、项目归档、验收等工作。</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、中标方应标方案需完全满足</w:t>
      </w:r>
      <w:r>
        <w:rPr>
          <w:rFonts w:asciiTheme="minorEastAsia" w:hAnsiTheme="minorEastAsia" w:cs="宋体" w:hint="eastAsia"/>
          <w:szCs w:val="21"/>
        </w:rPr>
        <w:t>我社</w:t>
      </w:r>
      <w:r>
        <w:rPr>
          <w:rFonts w:asciiTheme="minorEastAsia" w:hAnsiTheme="minorEastAsia" w:cs="宋体" w:hint="eastAsia"/>
          <w:szCs w:val="21"/>
        </w:rPr>
        <w:t>网络系统建设需求，标的设备产品规格及技术参数需适配我社</w:t>
      </w:r>
      <w:r>
        <w:rPr>
          <w:rFonts w:asciiTheme="minorEastAsia" w:hAnsiTheme="minorEastAsia" w:cs="宋体" w:hint="eastAsia"/>
          <w:szCs w:val="21"/>
        </w:rPr>
        <w:t>IT</w:t>
      </w:r>
      <w:r>
        <w:rPr>
          <w:rFonts w:asciiTheme="minorEastAsia" w:hAnsiTheme="minorEastAsia" w:cs="宋体" w:hint="eastAsia"/>
          <w:szCs w:val="21"/>
        </w:rPr>
        <w:t>及应用架构，并充分考虑技术扩展性。</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hint="eastAsia"/>
          <w:szCs w:val="21"/>
        </w:rPr>
        <w:t>、原产品厂商项目服务团队具有国有</w:t>
      </w:r>
      <w:r>
        <w:rPr>
          <w:rFonts w:asciiTheme="minorEastAsia" w:hAnsiTheme="minorEastAsia" w:cs="宋体" w:hint="eastAsia"/>
          <w:szCs w:val="21"/>
        </w:rPr>
        <w:t>大型</w:t>
      </w:r>
      <w:r>
        <w:rPr>
          <w:rFonts w:asciiTheme="minorEastAsia" w:hAnsiTheme="minorEastAsia" w:cs="宋体" w:hint="eastAsia"/>
          <w:szCs w:val="21"/>
        </w:rPr>
        <w:t>商业银行、全国政策性银行、全国性股份制</w:t>
      </w:r>
      <w:r>
        <w:rPr>
          <w:rFonts w:asciiTheme="minorEastAsia" w:hAnsiTheme="minorEastAsia" w:cs="宋体" w:hint="eastAsia"/>
          <w:szCs w:val="21"/>
        </w:rPr>
        <w:lastRenderedPageBreak/>
        <w:t>商业银行、省级农村信用社（含直辖市命名的农商行）等金融机构安全设备项目实施经验。</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hint="eastAsia"/>
          <w:szCs w:val="21"/>
        </w:rPr>
        <w:t>、中标方须做好严格的项目管理流程，做好项目的跟踪和管理，并提供招标方认可的规范的项目管理文档等。</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hint="eastAsia"/>
          <w:szCs w:val="21"/>
        </w:rPr>
        <w:t>、中标方的项目成员须根据招标方的计划安排全职参与项目的建设，在建设过程中，若中标方项目组成员未能达到招标方要求，招标方有权要求中标方更换项目人员。</w:t>
      </w:r>
      <w:r>
        <w:rPr>
          <w:rFonts w:asciiTheme="minorEastAsia" w:hAnsiTheme="minorEastAsia" w:cs="宋体" w:hint="eastAsia"/>
          <w:szCs w:val="21"/>
        </w:rPr>
        <w:t xml:space="preserve"> </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6</w:t>
      </w:r>
      <w:r>
        <w:rPr>
          <w:rFonts w:asciiTheme="minorEastAsia" w:hAnsiTheme="minorEastAsia" w:cs="宋体" w:hint="eastAsia"/>
          <w:szCs w:val="21"/>
        </w:rPr>
        <w:t>、参与实施的中标方及原产品厂商项目组成员，须严格遵守保密承诺，为招标方的</w:t>
      </w:r>
      <w:r>
        <w:rPr>
          <w:rFonts w:asciiTheme="minorEastAsia" w:hAnsiTheme="minorEastAsia" w:cs="宋体" w:hint="eastAsia"/>
          <w:szCs w:val="21"/>
        </w:rPr>
        <w:t>IT</w:t>
      </w:r>
      <w:r>
        <w:rPr>
          <w:rFonts w:asciiTheme="minorEastAsia" w:hAnsiTheme="minorEastAsia" w:cs="宋体" w:hint="eastAsia"/>
          <w:szCs w:val="21"/>
        </w:rPr>
        <w:t>基础架构及信息数据保密，避免外泄任何招标人数据资产。</w:t>
      </w:r>
    </w:p>
    <w:p w:rsidR="006B4DDD" w:rsidRDefault="00DD6A95">
      <w:pPr>
        <w:ind w:firstLineChars="200" w:firstLine="422"/>
        <w:rPr>
          <w:rFonts w:asciiTheme="minorEastAsia" w:hAnsiTheme="minorEastAsia" w:cs="宋体"/>
          <w:b/>
          <w:szCs w:val="21"/>
        </w:rPr>
      </w:pPr>
      <w:r>
        <w:rPr>
          <w:rFonts w:asciiTheme="minorEastAsia" w:hAnsiTheme="minorEastAsia" w:cs="宋体" w:hint="eastAsia"/>
          <w:b/>
          <w:szCs w:val="21"/>
        </w:rPr>
        <w:t>（二）建设范围</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、需求调研。中标方</w:t>
      </w:r>
      <w:r>
        <w:rPr>
          <w:rFonts w:asciiTheme="minorEastAsia" w:hAnsiTheme="minorEastAsia" w:cs="宋体" w:hint="eastAsia"/>
          <w:szCs w:val="21"/>
        </w:rPr>
        <w:t>完成</w:t>
      </w:r>
      <w:r>
        <w:rPr>
          <w:rFonts w:asciiTheme="minorEastAsia" w:hAnsiTheme="minorEastAsia" w:cs="宋体" w:hint="eastAsia"/>
          <w:szCs w:val="21"/>
        </w:rPr>
        <w:t>我社目标系统</w:t>
      </w:r>
      <w:r>
        <w:rPr>
          <w:rFonts w:asciiTheme="minorEastAsia" w:hAnsiTheme="minorEastAsia" w:cs="宋体" w:hint="eastAsia"/>
          <w:szCs w:val="21"/>
        </w:rPr>
        <w:t>网络接入需求梳理，结合现网架构进一步评估建设及割接重点、难点。</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、方案设计</w:t>
      </w:r>
      <w:r>
        <w:rPr>
          <w:rFonts w:asciiTheme="minorEastAsia" w:hAnsiTheme="minorEastAsia" w:cs="宋体" w:hint="eastAsia"/>
          <w:szCs w:val="21"/>
        </w:rPr>
        <w:t>。中标方完成</w:t>
      </w:r>
      <w:r>
        <w:rPr>
          <w:rFonts w:asciiTheme="minorEastAsia" w:hAnsiTheme="minorEastAsia" w:cs="宋体" w:hint="eastAsia"/>
          <w:szCs w:val="21"/>
        </w:rPr>
        <w:t>我社目标系统</w:t>
      </w:r>
      <w:r>
        <w:rPr>
          <w:rFonts w:asciiTheme="minorEastAsia" w:hAnsiTheme="minorEastAsia" w:cs="宋体" w:hint="eastAsia"/>
          <w:szCs w:val="21"/>
        </w:rPr>
        <w:t>组网方案设计，包括但不限于概要设计、详细设计、安全基线、实施工艺、测试方案等。</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hint="eastAsia"/>
          <w:szCs w:val="21"/>
        </w:rPr>
        <w:t>、项目实施。中标方严格按照概要设计及详细设计方案组织设备上架安装、版本升级、配置联调、系统可靠性及压力测试等。</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hint="eastAsia"/>
          <w:szCs w:val="21"/>
        </w:rPr>
        <w:t>、迁移割接。中标方结合现网架构制定迁移割接方案，并组织迁移割接。</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hint="eastAsia"/>
          <w:szCs w:val="21"/>
        </w:rPr>
        <w:t>、配套实施工作。项目实施过程中，中标方须按照招标方要求配套完成设备及布线标签规范、资产录入，设备监控纳管等工作。</w:t>
      </w:r>
    </w:p>
    <w:p w:rsidR="006B4DDD" w:rsidRDefault="00DD6A95">
      <w:pPr>
        <w:pStyle w:val="ab"/>
        <w:ind w:firstLine="0"/>
        <w:outlineLvl w:val="0"/>
        <w:rPr>
          <w:rFonts w:ascii="黑体" w:eastAsia="黑体" w:hAnsi="黑体" w:cs="黑体"/>
          <w:b/>
          <w:bCs/>
          <w:sz w:val="32"/>
          <w:szCs w:val="32"/>
        </w:rPr>
      </w:pPr>
      <w:r>
        <w:rPr>
          <w:rFonts w:ascii="黑体" w:eastAsia="黑体" w:hAnsi="黑体" w:cs="黑体" w:hint="eastAsia"/>
          <w:b/>
          <w:bCs/>
          <w:sz w:val="32"/>
          <w:szCs w:val="32"/>
        </w:rPr>
        <w:t>三</w:t>
      </w:r>
      <w:r>
        <w:rPr>
          <w:rFonts w:ascii="黑体" w:eastAsia="黑体" w:hAnsi="黑体" w:cs="黑体" w:hint="eastAsia"/>
          <w:b/>
          <w:bCs/>
          <w:sz w:val="32"/>
          <w:szCs w:val="32"/>
        </w:rPr>
        <w:t>、技术验收标准</w:t>
      </w:r>
    </w:p>
    <w:p w:rsidR="006B4DDD" w:rsidRDefault="00DD6A95">
      <w:pPr>
        <w:ind w:firstLine="48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、项目规划建设须符合国家网络安全法、等级保护指引、网上银行通用规范等法律法规，满足人民银行</w:t>
      </w:r>
      <w:r>
        <w:rPr>
          <w:rFonts w:asciiTheme="minorEastAsia" w:hAnsiTheme="minorEastAsia" w:hint="eastAsia"/>
          <w:szCs w:val="21"/>
        </w:rPr>
        <w:t>、银保监局管理要求等。</w:t>
      </w:r>
    </w:p>
    <w:p w:rsidR="006B4DDD" w:rsidRDefault="00DD6A95">
      <w:pPr>
        <w:ind w:firstLine="48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、货物到货验收。设备到货后，招标方依照本项目的招标技术要求对全部设备、产品、型号、规格、数量、外型、外观、包装及资料、文件（如装箱单、保修单、随箱介质等）等进行验收。</w:t>
      </w:r>
    </w:p>
    <w:p w:rsidR="006B4DDD" w:rsidRDefault="00DD6A95">
      <w:pPr>
        <w:ind w:firstLine="48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货物安装运行验收。设备安装调试完毕并稳定运行三个月后，待中标方提交全部项目交付物（包括但不限于设计方案、实施方案、测试方案及报告、运维操作手册等文档）后由招标方根据招标技术要求组织货物安装运行验收。</w:t>
      </w:r>
    </w:p>
    <w:p w:rsidR="006B4DDD" w:rsidRDefault="00DD6A95">
      <w:pPr>
        <w:pStyle w:val="ab"/>
        <w:ind w:firstLine="0"/>
        <w:outlineLvl w:val="0"/>
        <w:rPr>
          <w:rFonts w:ascii="黑体" w:eastAsia="黑体" w:hAnsi="黑体" w:cs="黑体"/>
          <w:b/>
          <w:bCs/>
          <w:sz w:val="32"/>
          <w:szCs w:val="32"/>
        </w:rPr>
      </w:pPr>
      <w:r>
        <w:rPr>
          <w:rFonts w:ascii="黑体" w:eastAsia="黑体" w:hAnsi="黑体" w:cs="黑体" w:hint="eastAsia"/>
          <w:b/>
          <w:bCs/>
          <w:sz w:val="32"/>
          <w:szCs w:val="32"/>
        </w:rPr>
        <w:t>四</w:t>
      </w:r>
      <w:r>
        <w:rPr>
          <w:rFonts w:ascii="黑体" w:eastAsia="黑体" w:hAnsi="黑体" w:cs="黑体" w:hint="eastAsia"/>
          <w:b/>
          <w:bCs/>
          <w:sz w:val="32"/>
          <w:szCs w:val="32"/>
        </w:rPr>
        <w:t>、维保服务要求</w:t>
      </w:r>
    </w:p>
    <w:p w:rsidR="006B4DDD" w:rsidRDefault="00DD6A95">
      <w:pPr>
        <w:ind w:firstLineChars="200" w:firstLine="420"/>
        <w:rPr>
          <w:rFonts w:asciiTheme="minorEastAsia" w:hAnsiTheme="minorEastAsia"/>
          <w:szCs w:val="21"/>
        </w:rPr>
      </w:pPr>
      <w:r>
        <w:rPr>
          <w:rFonts w:asciiTheme="minorEastAsia" w:hAnsiTheme="minorEastAsia" w:hint="eastAsia"/>
          <w:szCs w:val="21"/>
        </w:rPr>
        <w:t>中标方须提供原产品厂商五年维保服务，提供原产品厂商售后服务承诺书原件。维保服务期内中标方需免费提供备品备件更换、版本升级、缺陷修复、重保服务支持、巡检等服务。</w:t>
      </w:r>
    </w:p>
    <w:p w:rsidR="006B4DDD" w:rsidRDefault="00DD6A95">
      <w:pPr>
        <w:ind w:firstLineChars="200" w:firstLine="420"/>
        <w:outlineLvl w:val="1"/>
        <w:rPr>
          <w:rFonts w:asciiTheme="minorEastAsia" w:hAnsiTheme="minorEastAsia"/>
          <w:szCs w:val="21"/>
        </w:rPr>
      </w:pPr>
      <w:r>
        <w:rPr>
          <w:rFonts w:asciiTheme="minorEastAsia" w:hAnsiTheme="minorEastAsia" w:hint="eastAsia"/>
          <w:szCs w:val="21"/>
        </w:rPr>
        <w:t>（一）基本维护服务要求</w:t>
      </w:r>
    </w:p>
    <w:p w:rsidR="006B4DDD" w:rsidRDefault="00DD6A95">
      <w:pPr>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、定期维护技术支持：不少于每月一次的例行设备巡检</w:t>
      </w:r>
      <w:r>
        <w:rPr>
          <w:rFonts w:asciiTheme="minorEastAsia" w:hAnsiTheme="minorEastAsia" w:hint="eastAsia"/>
          <w:szCs w:val="21"/>
        </w:rPr>
        <w:t>，</w:t>
      </w:r>
      <w:r>
        <w:rPr>
          <w:rFonts w:asciiTheme="minorEastAsia" w:hAnsiTheme="minorEastAsia" w:hint="eastAsia"/>
          <w:szCs w:val="21"/>
        </w:rPr>
        <w:t>出具设备巡检报告并加盖公章，对巡检过程中出现的问题，中标人需配合整改优化；对设备的网络、硬件、配置、软件系统进行定期维护，监控运行情况，保证设备正常运行；</w:t>
      </w:r>
    </w:p>
    <w:p w:rsidR="006B4DDD" w:rsidRDefault="00DD6A95">
      <w:pPr>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、重保服务支持：遇国家重大节假日、双十一、重要业务时点、系统迁移期间等，中标人需向招标人提供重保方案；</w:t>
      </w:r>
    </w:p>
    <w:p w:rsidR="006B4DDD" w:rsidRDefault="00DD6A95">
      <w:pPr>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、升级服务：</w:t>
      </w:r>
      <w:r>
        <w:rPr>
          <w:rFonts w:asciiTheme="minorEastAsia" w:hAnsiTheme="minorEastAsia" w:hint="eastAsia"/>
          <w:szCs w:val="21"/>
        </w:rPr>
        <w:t>在原厂商提供升级与更新服务基础上，中标人还需免费提供设备版本、设备缺陷修复、必要的补丁更新、扩容升级等技术支持服务；</w:t>
      </w:r>
    </w:p>
    <w:p w:rsidR="006B4DDD" w:rsidRDefault="00DD6A95">
      <w:pPr>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、快速响应服务</w:t>
      </w:r>
      <w:r>
        <w:rPr>
          <w:rFonts w:asciiTheme="minorEastAsia" w:hAnsiTheme="minorEastAsia" w:hint="eastAsia"/>
          <w:szCs w:val="21"/>
        </w:rPr>
        <w:t xml:space="preserve">: </w:t>
      </w:r>
      <w:r>
        <w:rPr>
          <w:rFonts w:asciiTheme="minorEastAsia" w:hAnsiTheme="minorEastAsia" w:hint="eastAsia"/>
          <w:szCs w:val="21"/>
        </w:rPr>
        <w:t>维保设备出现故障不能正常工作时，招标人</w:t>
      </w:r>
      <w:r>
        <w:rPr>
          <w:rFonts w:asciiTheme="minorEastAsia" w:hAnsiTheme="minorEastAsia"/>
          <w:szCs w:val="21"/>
        </w:rPr>
        <w:t>通过电话、邮件等方式通知</w:t>
      </w:r>
      <w:r>
        <w:rPr>
          <w:rFonts w:asciiTheme="minorEastAsia" w:hAnsiTheme="minorEastAsia" w:hint="eastAsia"/>
          <w:szCs w:val="21"/>
        </w:rPr>
        <w:t>后，中标人需在</w:t>
      </w:r>
      <w:r>
        <w:rPr>
          <w:rFonts w:asciiTheme="minorEastAsia" w:hAnsiTheme="minorEastAsia" w:hint="eastAsia"/>
          <w:szCs w:val="21"/>
        </w:rPr>
        <w:t>30</w:t>
      </w:r>
      <w:r>
        <w:rPr>
          <w:rFonts w:asciiTheme="minorEastAsia" w:hAnsiTheme="minorEastAsia" w:hint="eastAsia"/>
          <w:szCs w:val="21"/>
        </w:rPr>
        <w:t>分钟内通过远程诊断解决问题，</w:t>
      </w:r>
      <w:r>
        <w:rPr>
          <w:rFonts w:asciiTheme="minorEastAsia" w:hAnsiTheme="minorEastAsia"/>
          <w:szCs w:val="21"/>
        </w:rPr>
        <w:t>如果通过电话、远程协助等方式无法使系统恢复正常</w:t>
      </w:r>
      <w:r>
        <w:rPr>
          <w:rFonts w:asciiTheme="minorEastAsia" w:hAnsiTheme="minorEastAsia" w:hint="eastAsia"/>
          <w:szCs w:val="21"/>
        </w:rPr>
        <w:t>，需在</w:t>
      </w:r>
      <w:r>
        <w:rPr>
          <w:rFonts w:asciiTheme="minorEastAsia" w:hAnsiTheme="minorEastAsia" w:hint="eastAsia"/>
          <w:szCs w:val="21"/>
        </w:rPr>
        <w:t>4</w:t>
      </w:r>
      <w:r>
        <w:rPr>
          <w:rFonts w:asciiTheme="minorEastAsia" w:hAnsiTheme="minorEastAsia" w:hint="eastAsia"/>
          <w:szCs w:val="21"/>
        </w:rPr>
        <w:t>小时内安排原厂技术工程师到现场进行故障定位及处置；</w:t>
      </w:r>
    </w:p>
    <w:p w:rsidR="006B4DDD" w:rsidRDefault="00DD6A95">
      <w:pPr>
        <w:ind w:firstLineChars="200" w:firstLine="42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、备品备件支持：为保证维保设备故障或损坏后中标人能快速处理，中标人需在本地需提供维保设备原厂商</w:t>
      </w:r>
      <w:r>
        <w:rPr>
          <w:rFonts w:asciiTheme="minorEastAsia" w:hAnsiTheme="minorEastAsia" w:hint="eastAsia"/>
          <w:szCs w:val="21"/>
        </w:rPr>
        <w:t>7*24</w:t>
      </w:r>
      <w:r>
        <w:rPr>
          <w:rFonts w:asciiTheme="minorEastAsia" w:hAnsiTheme="minorEastAsia" w:hint="eastAsia"/>
          <w:szCs w:val="21"/>
        </w:rPr>
        <w:t>小时备品备件及技术响应服务。</w:t>
      </w:r>
    </w:p>
    <w:p w:rsidR="006B4DDD" w:rsidRDefault="00DD6A95">
      <w:pPr>
        <w:ind w:firstLineChars="200" w:firstLine="420"/>
        <w:outlineLvl w:val="1"/>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hint="eastAsia"/>
          <w:szCs w:val="21"/>
        </w:rPr>
        <w:t>二</w:t>
      </w:r>
      <w:r>
        <w:rPr>
          <w:rFonts w:asciiTheme="minorEastAsia" w:hAnsiTheme="minorEastAsia" w:hint="eastAsia"/>
          <w:szCs w:val="21"/>
        </w:rPr>
        <w:t>）高级维保服务要求</w:t>
      </w:r>
      <w:r>
        <w:rPr>
          <w:rFonts w:asciiTheme="minorEastAsia" w:hAnsiTheme="minorEastAsia" w:hint="eastAsia"/>
          <w:szCs w:val="21"/>
        </w:rPr>
        <w:tab/>
      </w:r>
    </w:p>
    <w:p w:rsidR="006B4DDD" w:rsidRDefault="00DD6A95">
      <w:pPr>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、中标人需每季度进行客户拜访，了解项目的执行情况及投标人需求动向，保障维保服务期内各项工作的顺利开展；</w:t>
      </w:r>
      <w:r>
        <w:rPr>
          <w:rFonts w:asciiTheme="minorEastAsia" w:hAnsiTheme="minorEastAsia" w:hint="eastAsia"/>
          <w:szCs w:val="21"/>
        </w:rPr>
        <w:t xml:space="preserve"> </w:t>
      </w:r>
    </w:p>
    <w:p w:rsidR="006B4DDD" w:rsidRDefault="00DD6A95">
      <w:pPr>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、建立完整的客户维护服务档案，包括但不限于网络拓扑、设备信息、维护服务记录、升级变更记录、维护服务报告等：</w:t>
      </w:r>
      <w:r>
        <w:rPr>
          <w:rFonts w:asciiTheme="minorEastAsia" w:hAnsiTheme="minorEastAsia" w:hint="eastAsia"/>
          <w:szCs w:val="21"/>
        </w:rPr>
        <w:t xml:space="preserve">  </w:t>
      </w:r>
    </w:p>
    <w:p w:rsidR="006B4DDD" w:rsidRDefault="00DD6A95">
      <w:pPr>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、为了更好地保障招标人网络系统安全稳定运行，维保服务期内中标人需定期安排高级技术专家进行技术支持及培训交流工作。</w:t>
      </w:r>
    </w:p>
    <w:p w:rsidR="006B4DDD" w:rsidRDefault="00DD6A95">
      <w:pPr>
        <w:pStyle w:val="ab"/>
        <w:ind w:firstLine="0"/>
        <w:outlineLvl w:val="0"/>
        <w:rPr>
          <w:rFonts w:eastAsia="宋体"/>
          <w:b/>
          <w:szCs w:val="28"/>
        </w:rPr>
      </w:pPr>
      <w:r>
        <w:rPr>
          <w:rFonts w:ascii="黑体" w:eastAsia="黑体" w:hAnsi="黑体" w:cs="黑体" w:hint="eastAsia"/>
          <w:b/>
          <w:bCs/>
          <w:sz w:val="32"/>
          <w:szCs w:val="32"/>
        </w:rPr>
        <w:t>五</w:t>
      </w:r>
      <w:r>
        <w:rPr>
          <w:rFonts w:ascii="黑体" w:eastAsia="黑体" w:hAnsi="黑体" w:cs="黑体" w:hint="eastAsia"/>
          <w:b/>
          <w:bCs/>
          <w:sz w:val="32"/>
          <w:szCs w:val="32"/>
        </w:rPr>
        <w:t>、技术规格</w:t>
      </w:r>
    </w:p>
    <w:p w:rsidR="006B4DDD" w:rsidRDefault="00DD6A95">
      <w:pPr>
        <w:ind w:firstLineChars="200" w:firstLine="420"/>
        <w:rPr>
          <w:rFonts w:asciiTheme="minorEastAsia" w:hAnsiTheme="minorEastAsia"/>
          <w:szCs w:val="21"/>
        </w:rPr>
      </w:pPr>
      <w:r>
        <w:rPr>
          <w:rFonts w:asciiTheme="minorEastAsia" w:hAnsiTheme="minorEastAsia" w:hint="eastAsia"/>
          <w:szCs w:val="21"/>
        </w:rPr>
        <w:t>“★”号条款内容为实质性响应要求，投标人必须作出满足或者优于原要求和条件的承诺，否则</w:t>
      </w:r>
      <w:r>
        <w:rPr>
          <w:rFonts w:asciiTheme="minorEastAsia" w:hAnsiTheme="minorEastAsia"/>
          <w:szCs w:val="21"/>
        </w:rPr>
        <w:t>我社将取消该</w:t>
      </w:r>
      <w:r>
        <w:rPr>
          <w:rFonts w:asciiTheme="minorEastAsia" w:hAnsiTheme="minorEastAsia" w:hint="eastAsia"/>
          <w:szCs w:val="21"/>
        </w:rPr>
        <w:t>投标人</w:t>
      </w:r>
      <w:r>
        <w:rPr>
          <w:rFonts w:asciiTheme="minorEastAsia" w:hAnsiTheme="minorEastAsia"/>
          <w:szCs w:val="21"/>
        </w:rPr>
        <w:t>继续参与本项目后续采购活动的资格</w:t>
      </w:r>
      <w:r>
        <w:rPr>
          <w:rFonts w:asciiTheme="minorEastAsia" w:hAnsiTheme="minorEastAsia" w:hint="eastAsia"/>
          <w:szCs w:val="21"/>
        </w:rPr>
        <w:t>。</w:t>
      </w:r>
    </w:p>
    <w:tbl>
      <w:tblPr>
        <w:tblW w:w="54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2"/>
        <w:gridCol w:w="6655"/>
        <w:gridCol w:w="1381"/>
      </w:tblGrid>
      <w:tr w:rsidR="006B4DDD">
        <w:trPr>
          <w:trHeight w:hRule="exact" w:val="627"/>
          <w:jc w:val="center"/>
        </w:trPr>
        <w:tc>
          <w:tcPr>
            <w:tcW w:w="683" w:type="pct"/>
            <w:shd w:val="clear" w:color="auto" w:fill="BEBEBE"/>
            <w:vAlign w:val="center"/>
          </w:tcPr>
          <w:p w:rsidR="006B4DDD" w:rsidRDefault="00DD6A95">
            <w:pPr>
              <w:spacing w:line="280" w:lineRule="exact"/>
              <w:jc w:val="center"/>
              <w:rPr>
                <w:rFonts w:ascii="仿宋" w:eastAsia="仿宋" w:hAnsi="仿宋"/>
                <w:sz w:val="24"/>
              </w:rPr>
            </w:pPr>
            <w:r>
              <w:rPr>
                <w:rFonts w:ascii="仿宋" w:eastAsia="仿宋" w:hAnsi="仿宋" w:hint="eastAsia"/>
                <w:sz w:val="24"/>
              </w:rPr>
              <w:t>指标项</w:t>
            </w:r>
          </w:p>
        </w:tc>
        <w:tc>
          <w:tcPr>
            <w:tcW w:w="3574" w:type="pct"/>
            <w:shd w:val="clear" w:color="auto" w:fill="BEBEBE"/>
            <w:vAlign w:val="center"/>
          </w:tcPr>
          <w:p w:rsidR="006B4DDD" w:rsidRDefault="00DD6A95">
            <w:pPr>
              <w:spacing w:line="280" w:lineRule="exact"/>
              <w:jc w:val="center"/>
              <w:rPr>
                <w:rFonts w:ascii="仿宋" w:eastAsia="仿宋" w:hAnsi="仿宋"/>
                <w:sz w:val="24"/>
              </w:rPr>
            </w:pPr>
            <w:r>
              <w:rPr>
                <w:rFonts w:ascii="仿宋" w:eastAsia="仿宋" w:hAnsi="仿宋" w:hint="eastAsia"/>
                <w:sz w:val="24"/>
              </w:rPr>
              <w:t>技术要求</w:t>
            </w:r>
          </w:p>
        </w:tc>
        <w:tc>
          <w:tcPr>
            <w:tcW w:w="742" w:type="pct"/>
            <w:shd w:val="clear" w:color="auto" w:fill="BEBEBE"/>
            <w:vAlign w:val="center"/>
          </w:tcPr>
          <w:p w:rsidR="006B4DDD" w:rsidRDefault="00DD6A95">
            <w:pPr>
              <w:spacing w:line="280" w:lineRule="exact"/>
              <w:jc w:val="center"/>
              <w:rPr>
                <w:rFonts w:ascii="仿宋" w:eastAsia="仿宋" w:hAnsi="仿宋"/>
                <w:sz w:val="24"/>
              </w:rPr>
            </w:pPr>
            <w:r>
              <w:rPr>
                <w:rFonts w:ascii="仿宋" w:eastAsia="仿宋" w:hAnsi="仿宋" w:hint="eastAsia"/>
                <w:sz w:val="24"/>
              </w:rPr>
              <w:t>响应要求</w:t>
            </w:r>
          </w:p>
        </w:tc>
      </w:tr>
      <w:tr w:rsidR="006B4DDD">
        <w:trPr>
          <w:trHeight w:val="2597"/>
          <w:jc w:val="center"/>
        </w:trPr>
        <w:tc>
          <w:tcPr>
            <w:tcW w:w="683" w:type="pct"/>
            <w:tcBorders>
              <w:bottom w:val="single" w:sz="4" w:space="0" w:color="auto"/>
            </w:tcBorders>
            <w:vAlign w:val="center"/>
          </w:tcPr>
          <w:p w:rsidR="006B4DDD" w:rsidRDefault="00DD6A95">
            <w:pPr>
              <w:spacing w:line="280" w:lineRule="exact"/>
              <w:jc w:val="left"/>
              <w:rPr>
                <w:rFonts w:ascii="仿宋" w:eastAsia="仿宋" w:hAnsi="仿宋"/>
                <w:sz w:val="24"/>
              </w:rPr>
            </w:pPr>
            <w:r>
              <w:rPr>
                <w:rFonts w:ascii="仿宋" w:eastAsia="仿宋" w:hAnsi="仿宋" w:cs="Times New Roman" w:hint="eastAsia"/>
                <w:kern w:val="0"/>
                <w:sz w:val="24"/>
              </w:rPr>
              <w:t>配置参数</w:t>
            </w:r>
          </w:p>
        </w:tc>
        <w:tc>
          <w:tcPr>
            <w:tcW w:w="3574"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独立的信创国密</w:t>
            </w:r>
            <w:r>
              <w:rPr>
                <w:rFonts w:ascii="仿宋" w:eastAsia="仿宋" w:hAnsi="仿宋" w:hint="eastAsia"/>
              </w:rPr>
              <w:t>SSL</w:t>
            </w:r>
            <w:r>
              <w:rPr>
                <w:rFonts w:ascii="仿宋" w:eastAsia="仿宋" w:hAnsi="仿宋" w:hint="eastAsia"/>
              </w:rPr>
              <w:t>代理网关设备，须提供与国产操作系统、国产</w:t>
            </w:r>
            <w:r>
              <w:rPr>
                <w:rFonts w:ascii="仿宋" w:eastAsia="仿宋" w:hAnsi="仿宋" w:hint="eastAsia"/>
              </w:rPr>
              <w:t>CPU</w:t>
            </w:r>
            <w:r>
              <w:rPr>
                <w:rFonts w:ascii="仿宋" w:eastAsia="仿宋" w:hAnsi="仿宋" w:hint="eastAsia"/>
              </w:rPr>
              <w:t>兼容性认证证书，</w:t>
            </w:r>
            <w:r>
              <w:rPr>
                <w:rFonts w:ascii="仿宋" w:eastAsia="仿宋" w:hAnsi="仿宋" w:hint="eastAsia"/>
              </w:rPr>
              <w:t>提供证明材料并加盖公章</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w:t>
            </w:r>
            <w:r>
              <w:rPr>
                <w:rFonts w:ascii="仿宋" w:eastAsia="仿宋" w:hAnsi="仿宋" w:hint="eastAsia"/>
              </w:rPr>
              <w:t>设备大小≥</w:t>
            </w:r>
            <w:r>
              <w:rPr>
                <w:rFonts w:ascii="仿宋" w:eastAsia="仿宋" w:hAnsi="仿宋" w:hint="eastAsia"/>
              </w:rPr>
              <w:t>1U</w:t>
            </w:r>
            <w:r>
              <w:rPr>
                <w:rFonts w:ascii="仿宋" w:eastAsia="仿宋" w:hAnsi="仿宋" w:hint="eastAsia"/>
              </w:rPr>
              <w:t>，配置</w:t>
            </w:r>
            <w:r>
              <w:rPr>
                <w:rFonts w:ascii="仿宋" w:eastAsia="仿宋" w:hAnsi="仿宋" w:hint="eastAsia"/>
              </w:rPr>
              <w:t>双电源，硬盘≥</w:t>
            </w:r>
            <w:r>
              <w:rPr>
                <w:rFonts w:ascii="仿宋" w:eastAsia="仿宋" w:hAnsi="仿宋" w:hint="eastAsia"/>
              </w:rPr>
              <w:t>1T</w:t>
            </w:r>
            <w:r>
              <w:rPr>
                <w:rFonts w:ascii="仿宋" w:eastAsia="仿宋" w:hAnsi="仿宋" w:hint="eastAsia"/>
              </w:rPr>
              <w:t>，内存≥</w:t>
            </w:r>
            <w:r>
              <w:rPr>
                <w:rFonts w:ascii="仿宋" w:eastAsia="仿宋" w:hAnsi="仿宋" w:hint="eastAsia"/>
              </w:rPr>
              <w:t>32G</w:t>
            </w:r>
            <w:r>
              <w:rPr>
                <w:rFonts w:ascii="仿宋" w:eastAsia="仿宋" w:hAnsi="仿宋" w:hint="eastAsia"/>
              </w:rPr>
              <w:t>，千兆电口≥</w:t>
            </w:r>
            <w:r>
              <w:rPr>
                <w:rFonts w:ascii="仿宋" w:eastAsia="仿宋" w:hAnsi="仿宋" w:hint="eastAsia"/>
              </w:rPr>
              <w:t>4</w:t>
            </w:r>
            <w:r>
              <w:rPr>
                <w:rFonts w:ascii="仿宋" w:eastAsia="仿宋" w:hAnsi="仿宋" w:hint="eastAsia"/>
              </w:rPr>
              <w:t>个</w:t>
            </w:r>
            <w:r>
              <w:rPr>
                <w:rFonts w:ascii="仿宋" w:eastAsia="仿宋" w:hAnsi="仿宋" w:hint="eastAsia"/>
              </w:rPr>
              <w:t>，千兆光口≥</w:t>
            </w:r>
            <w:r>
              <w:rPr>
                <w:rFonts w:ascii="仿宋" w:eastAsia="仿宋" w:hAnsi="仿宋" w:hint="eastAsia"/>
              </w:rPr>
              <w:t>4</w:t>
            </w:r>
            <w:r>
              <w:rPr>
                <w:rFonts w:ascii="仿宋" w:eastAsia="仿宋" w:hAnsi="仿宋" w:hint="eastAsia"/>
              </w:rPr>
              <w:t>个含模块</w:t>
            </w:r>
            <w:r>
              <w:rPr>
                <w:rFonts w:ascii="仿宋" w:eastAsia="仿宋" w:hAnsi="仿宋" w:hint="eastAsia"/>
              </w:rPr>
              <w:t>，万兆光口≥</w:t>
            </w:r>
            <w:r>
              <w:rPr>
                <w:rFonts w:ascii="仿宋" w:eastAsia="仿宋" w:hAnsi="仿宋" w:hint="eastAsia"/>
              </w:rPr>
              <w:t>4</w:t>
            </w:r>
            <w:r>
              <w:rPr>
                <w:rFonts w:ascii="仿宋" w:eastAsia="仿宋" w:hAnsi="仿宋" w:hint="eastAsia"/>
              </w:rPr>
              <w:t>个含模块</w:t>
            </w:r>
            <w:r>
              <w:rPr>
                <w:rFonts w:ascii="仿宋" w:eastAsia="仿宋" w:hAnsi="仿宋" w:hint="eastAsia"/>
              </w:rPr>
              <w:t>，</w:t>
            </w:r>
            <w:r>
              <w:rPr>
                <w:rFonts w:ascii="仿宋" w:eastAsia="仿宋" w:hAnsi="仿宋" w:hint="eastAsia"/>
              </w:rPr>
              <w:t>独立的</w:t>
            </w:r>
            <w:r>
              <w:rPr>
                <w:rFonts w:ascii="仿宋" w:eastAsia="仿宋" w:hAnsi="仿宋" w:hint="eastAsia"/>
              </w:rPr>
              <w:t>带外管理口≥</w:t>
            </w:r>
            <w:r>
              <w:rPr>
                <w:rFonts w:ascii="仿宋" w:eastAsia="仿宋" w:hAnsi="仿宋" w:hint="eastAsia"/>
              </w:rPr>
              <w:t>1</w:t>
            </w:r>
            <w:r>
              <w:rPr>
                <w:rFonts w:ascii="仿宋" w:eastAsia="仿宋" w:hAnsi="仿宋" w:hint="eastAsia"/>
              </w:rPr>
              <w:t>个</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七</w:t>
            </w:r>
            <w:r>
              <w:rPr>
                <w:rFonts w:ascii="仿宋" w:eastAsia="仿宋" w:hAnsi="仿宋" w:hint="eastAsia"/>
              </w:rPr>
              <w:t>层吞吐量≥</w:t>
            </w:r>
            <w:r>
              <w:rPr>
                <w:rFonts w:ascii="仿宋" w:eastAsia="仿宋" w:hAnsi="仿宋" w:hint="eastAsia"/>
              </w:rPr>
              <w:t>30Gbps</w:t>
            </w:r>
            <w:r>
              <w:rPr>
                <w:rFonts w:ascii="仿宋" w:eastAsia="仿宋" w:hAnsi="仿宋" w:hint="eastAsia"/>
              </w:rPr>
              <w:t>，</w:t>
            </w:r>
            <w:r>
              <w:rPr>
                <w:rFonts w:ascii="仿宋" w:eastAsia="仿宋" w:hAnsi="仿宋" w:hint="eastAsia"/>
              </w:rPr>
              <w:t>七</w:t>
            </w:r>
            <w:r>
              <w:rPr>
                <w:rFonts w:ascii="仿宋" w:eastAsia="仿宋" w:hAnsi="仿宋" w:hint="eastAsia"/>
              </w:rPr>
              <w:t>层每秒新建连接数≥</w:t>
            </w:r>
            <w:r>
              <w:rPr>
                <w:rFonts w:ascii="仿宋" w:eastAsia="仿宋" w:hAnsi="仿宋" w:hint="eastAsia"/>
              </w:rPr>
              <w:t>100W</w:t>
            </w:r>
            <w:r>
              <w:rPr>
                <w:rFonts w:ascii="仿宋" w:eastAsia="仿宋" w:hAnsi="仿宋" w:hint="eastAsia"/>
              </w:rPr>
              <w:t>，</w:t>
            </w:r>
            <w:r>
              <w:rPr>
                <w:rFonts w:ascii="仿宋" w:eastAsia="仿宋" w:hAnsi="仿宋" w:hint="eastAsia"/>
              </w:rPr>
              <w:t>七</w:t>
            </w:r>
            <w:r>
              <w:rPr>
                <w:rFonts w:ascii="仿宋" w:eastAsia="仿宋" w:hAnsi="仿宋" w:hint="eastAsia"/>
              </w:rPr>
              <w:t>层并发连接数≥</w:t>
            </w:r>
            <w:r>
              <w:rPr>
                <w:rFonts w:ascii="仿宋" w:eastAsia="仿宋" w:hAnsi="仿宋" w:hint="eastAsia"/>
              </w:rPr>
              <w:t>300W</w:t>
            </w:r>
            <w:r>
              <w:rPr>
                <w:rFonts w:ascii="仿宋" w:eastAsia="仿宋" w:hAnsi="仿宋" w:hint="eastAsia"/>
              </w:rPr>
              <w:t>；</w:t>
            </w:r>
            <w:r>
              <w:rPr>
                <w:rFonts w:ascii="仿宋" w:eastAsia="仿宋" w:hAnsi="仿宋" w:hint="eastAsia"/>
              </w:rPr>
              <w:t>四</w:t>
            </w:r>
            <w:r>
              <w:rPr>
                <w:rFonts w:ascii="仿宋" w:eastAsia="仿宋" w:hAnsi="仿宋" w:hint="eastAsia"/>
              </w:rPr>
              <w:t>层吞吐量≥</w:t>
            </w:r>
            <w:r>
              <w:rPr>
                <w:rFonts w:ascii="仿宋" w:eastAsia="仿宋" w:hAnsi="仿宋" w:hint="eastAsia"/>
              </w:rPr>
              <w:t>30G</w:t>
            </w:r>
            <w:r>
              <w:rPr>
                <w:rFonts w:ascii="仿宋" w:eastAsia="仿宋" w:hAnsi="仿宋" w:hint="eastAsia"/>
              </w:rPr>
              <w:t>，</w:t>
            </w:r>
            <w:r>
              <w:rPr>
                <w:rFonts w:ascii="仿宋" w:eastAsia="仿宋" w:hAnsi="仿宋" w:hint="eastAsia"/>
              </w:rPr>
              <w:t>四</w:t>
            </w:r>
            <w:r>
              <w:rPr>
                <w:rFonts w:ascii="仿宋" w:eastAsia="仿宋" w:hAnsi="仿宋" w:hint="eastAsia"/>
              </w:rPr>
              <w:t>层每秒新建连接数≥</w:t>
            </w:r>
            <w:r>
              <w:rPr>
                <w:rFonts w:ascii="仿宋" w:eastAsia="仿宋" w:hAnsi="仿宋" w:hint="eastAsia"/>
              </w:rPr>
              <w:t>60W</w:t>
            </w:r>
            <w:r>
              <w:rPr>
                <w:rFonts w:ascii="仿宋" w:eastAsia="仿宋" w:hAnsi="仿宋" w:hint="eastAsia"/>
              </w:rPr>
              <w:t>，</w:t>
            </w:r>
            <w:r>
              <w:rPr>
                <w:rFonts w:ascii="仿宋" w:eastAsia="仿宋" w:hAnsi="仿宋" w:hint="eastAsia"/>
              </w:rPr>
              <w:t>四</w:t>
            </w:r>
            <w:r>
              <w:rPr>
                <w:rFonts w:ascii="仿宋" w:eastAsia="仿宋" w:hAnsi="仿宋" w:hint="eastAsia"/>
              </w:rPr>
              <w:t>层并发连接数≥</w:t>
            </w:r>
            <w:r>
              <w:rPr>
                <w:rFonts w:ascii="仿宋" w:eastAsia="仿宋" w:hAnsi="仿宋" w:hint="eastAsia"/>
              </w:rPr>
              <w:t>1600W</w:t>
            </w:r>
            <w:r>
              <w:rPr>
                <w:rFonts w:ascii="仿宋" w:eastAsia="仿宋" w:hAnsi="仿宋" w:hint="eastAsia"/>
              </w:rPr>
              <w:t>；</w:t>
            </w:r>
            <w:r>
              <w:rPr>
                <w:rFonts w:ascii="仿宋" w:eastAsia="仿宋" w:hAnsi="仿宋" w:hint="eastAsia"/>
              </w:rPr>
              <w:t xml:space="preserve"> </w:t>
            </w:r>
            <w:r>
              <w:rPr>
                <w:rFonts w:ascii="仿宋" w:eastAsia="仿宋" w:hAnsi="仿宋" w:hint="eastAsia"/>
              </w:rPr>
              <w:t>SSL</w:t>
            </w:r>
            <w:r>
              <w:rPr>
                <w:rFonts w:ascii="仿宋" w:eastAsia="仿宋" w:hAnsi="仿宋" w:hint="eastAsia"/>
              </w:rPr>
              <w:t>吞吐率（</w:t>
            </w:r>
            <w:r>
              <w:rPr>
                <w:rFonts w:ascii="仿宋" w:eastAsia="仿宋" w:hAnsi="仿宋" w:hint="eastAsia"/>
              </w:rPr>
              <w:t>RSA2048</w:t>
            </w:r>
            <w:r>
              <w:rPr>
                <w:rFonts w:ascii="仿宋" w:eastAsia="仿宋" w:hAnsi="仿宋" w:hint="eastAsia"/>
              </w:rPr>
              <w:t>）≥</w:t>
            </w:r>
            <w:r>
              <w:rPr>
                <w:rFonts w:ascii="仿宋" w:eastAsia="仿宋" w:hAnsi="仿宋" w:hint="eastAsia"/>
              </w:rPr>
              <w:t>10Gbps</w:t>
            </w:r>
            <w:r>
              <w:rPr>
                <w:rFonts w:ascii="仿宋" w:eastAsia="仿宋" w:hAnsi="仿宋" w:hint="eastAsia"/>
              </w:rPr>
              <w:t>，</w:t>
            </w:r>
            <w:r>
              <w:rPr>
                <w:rFonts w:ascii="仿宋" w:eastAsia="仿宋" w:hAnsi="仿宋" w:hint="eastAsia"/>
              </w:rPr>
              <w:t>SSL</w:t>
            </w:r>
            <w:r>
              <w:rPr>
                <w:rFonts w:ascii="仿宋" w:eastAsia="仿宋" w:hAnsi="仿宋" w:hint="eastAsia"/>
              </w:rPr>
              <w:t>每秒新建连接数（</w:t>
            </w:r>
            <w:r>
              <w:rPr>
                <w:rFonts w:ascii="仿宋" w:eastAsia="仿宋" w:hAnsi="仿宋" w:hint="eastAsia"/>
              </w:rPr>
              <w:t>RSA2048</w:t>
            </w:r>
            <w:r>
              <w:rPr>
                <w:rFonts w:ascii="仿宋" w:eastAsia="仿宋" w:hAnsi="仿宋" w:hint="eastAsia"/>
              </w:rPr>
              <w:t>）≥</w:t>
            </w:r>
            <w:r>
              <w:rPr>
                <w:rFonts w:ascii="仿宋" w:eastAsia="仿宋" w:hAnsi="仿宋" w:hint="eastAsia"/>
              </w:rPr>
              <w:t>1.5W</w:t>
            </w:r>
            <w:r>
              <w:rPr>
                <w:rFonts w:ascii="仿宋" w:eastAsia="仿宋" w:hAnsi="仿宋" w:hint="eastAsia"/>
              </w:rPr>
              <w:t>，</w:t>
            </w:r>
            <w:r>
              <w:rPr>
                <w:rFonts w:ascii="仿宋" w:eastAsia="仿宋" w:hAnsi="仿宋" w:hint="eastAsia"/>
              </w:rPr>
              <w:t>SSL</w:t>
            </w:r>
            <w:r>
              <w:rPr>
                <w:rFonts w:ascii="仿宋" w:eastAsia="仿宋" w:hAnsi="仿宋" w:hint="eastAsia"/>
              </w:rPr>
              <w:t>并发连接数（</w:t>
            </w:r>
            <w:r>
              <w:rPr>
                <w:rFonts w:ascii="仿宋" w:eastAsia="仿宋" w:hAnsi="仿宋" w:hint="eastAsia"/>
              </w:rPr>
              <w:t>RSA2048</w:t>
            </w:r>
            <w:r>
              <w:rPr>
                <w:rFonts w:ascii="仿宋" w:eastAsia="仿宋" w:hAnsi="仿宋" w:hint="eastAsia"/>
              </w:rPr>
              <w:t>）≥</w:t>
            </w:r>
            <w:r>
              <w:rPr>
                <w:rFonts w:ascii="仿宋" w:eastAsia="仿宋" w:hAnsi="仿宋" w:hint="eastAsia"/>
              </w:rPr>
              <w:t>70W</w:t>
            </w:r>
            <w:r>
              <w:rPr>
                <w:rFonts w:ascii="仿宋" w:eastAsia="仿宋" w:hAnsi="仿宋" w:hint="eastAsia"/>
              </w:rPr>
              <w:t>；</w:t>
            </w:r>
            <w:r>
              <w:rPr>
                <w:rFonts w:ascii="仿宋" w:eastAsia="仿宋" w:hAnsi="仿宋" w:hint="eastAsia"/>
              </w:rPr>
              <w:t>SSL</w:t>
            </w:r>
            <w:r>
              <w:rPr>
                <w:rFonts w:ascii="仿宋" w:eastAsia="仿宋" w:hAnsi="仿宋" w:hint="eastAsia"/>
              </w:rPr>
              <w:t>吞吐率（</w:t>
            </w:r>
            <w:r>
              <w:rPr>
                <w:rFonts w:ascii="仿宋" w:eastAsia="仿宋" w:hAnsi="仿宋" w:hint="eastAsia"/>
              </w:rPr>
              <w:t>SM2</w:t>
            </w:r>
            <w:r>
              <w:rPr>
                <w:rFonts w:ascii="仿宋" w:eastAsia="仿宋" w:hAnsi="仿宋" w:hint="eastAsia"/>
              </w:rPr>
              <w:t>）≥</w:t>
            </w:r>
            <w:r>
              <w:rPr>
                <w:rFonts w:ascii="仿宋" w:eastAsia="仿宋" w:hAnsi="仿宋" w:hint="eastAsia"/>
              </w:rPr>
              <w:t>2.5Gbps</w:t>
            </w:r>
            <w:r>
              <w:rPr>
                <w:rFonts w:ascii="仿宋" w:eastAsia="仿宋" w:hAnsi="仿宋" w:hint="eastAsia"/>
              </w:rPr>
              <w:t>，</w:t>
            </w:r>
            <w:r>
              <w:rPr>
                <w:rFonts w:ascii="仿宋" w:eastAsia="仿宋" w:hAnsi="仿宋" w:hint="eastAsia"/>
              </w:rPr>
              <w:t>SSL</w:t>
            </w:r>
            <w:r>
              <w:rPr>
                <w:rFonts w:ascii="仿宋" w:eastAsia="仿宋" w:hAnsi="仿宋" w:hint="eastAsia"/>
              </w:rPr>
              <w:t>每秒新建连接数（</w:t>
            </w:r>
            <w:r>
              <w:rPr>
                <w:rFonts w:ascii="仿宋" w:eastAsia="仿宋" w:hAnsi="仿宋" w:hint="eastAsia"/>
              </w:rPr>
              <w:t>SM2</w:t>
            </w:r>
            <w:r>
              <w:rPr>
                <w:rFonts w:ascii="仿宋" w:eastAsia="仿宋" w:hAnsi="仿宋" w:hint="eastAsia"/>
              </w:rPr>
              <w:t>）≥</w:t>
            </w:r>
            <w:r>
              <w:rPr>
                <w:rFonts w:ascii="仿宋" w:eastAsia="仿宋" w:hAnsi="仿宋" w:hint="eastAsia"/>
              </w:rPr>
              <w:t>1W</w:t>
            </w:r>
            <w:r>
              <w:rPr>
                <w:rFonts w:ascii="仿宋" w:eastAsia="仿宋" w:hAnsi="仿宋" w:hint="eastAsia"/>
              </w:rPr>
              <w:t>，</w:t>
            </w:r>
            <w:r>
              <w:rPr>
                <w:rFonts w:ascii="仿宋" w:eastAsia="仿宋" w:hAnsi="仿宋" w:hint="eastAsia"/>
              </w:rPr>
              <w:t>SSL</w:t>
            </w:r>
            <w:r>
              <w:rPr>
                <w:rFonts w:ascii="仿宋" w:eastAsia="仿宋" w:hAnsi="仿宋" w:hint="eastAsia"/>
              </w:rPr>
              <w:t>并发连接数（</w:t>
            </w:r>
            <w:r>
              <w:rPr>
                <w:rFonts w:ascii="仿宋" w:eastAsia="仿宋" w:hAnsi="仿宋" w:hint="eastAsia"/>
              </w:rPr>
              <w:t>SM2</w:t>
            </w:r>
            <w:r>
              <w:rPr>
                <w:rFonts w:ascii="仿宋" w:eastAsia="仿宋" w:hAnsi="仿宋" w:hint="eastAsia"/>
              </w:rPr>
              <w:t>）≥</w:t>
            </w:r>
            <w:r>
              <w:rPr>
                <w:rFonts w:ascii="仿宋" w:eastAsia="仿宋" w:hAnsi="仿宋" w:hint="eastAsia"/>
              </w:rPr>
              <w:t>60W</w:t>
            </w:r>
            <w:r>
              <w:rPr>
                <w:rFonts w:ascii="仿宋" w:eastAsia="仿宋" w:hAnsi="仿宋" w:hint="eastAsia"/>
              </w:rPr>
              <w:t>；</w:t>
            </w:r>
          </w:p>
        </w:tc>
        <w:tc>
          <w:tcPr>
            <w:tcW w:w="742" w:type="pct"/>
            <w:tcBorders>
              <w:bottom w:val="single" w:sz="4" w:space="0" w:color="auto"/>
            </w:tcBorders>
            <w:vAlign w:val="center"/>
          </w:tcPr>
          <w:p w:rsidR="006B4DDD" w:rsidRDefault="006B4DDD">
            <w:pPr>
              <w:pStyle w:val="10"/>
              <w:spacing w:line="280" w:lineRule="exact"/>
              <w:ind w:firstLineChars="0" w:firstLine="0"/>
              <w:rPr>
                <w:rFonts w:ascii="仿宋" w:eastAsia="仿宋" w:hAnsi="仿宋"/>
              </w:rPr>
            </w:pPr>
          </w:p>
        </w:tc>
      </w:tr>
      <w:tr w:rsidR="006B4DDD">
        <w:trPr>
          <w:trHeight w:val="5888"/>
          <w:jc w:val="center"/>
        </w:trPr>
        <w:tc>
          <w:tcPr>
            <w:tcW w:w="683" w:type="pct"/>
            <w:tcBorders>
              <w:bottom w:val="single" w:sz="4" w:space="0" w:color="auto"/>
            </w:tcBorders>
            <w:vAlign w:val="center"/>
          </w:tcPr>
          <w:p w:rsidR="006B4DDD" w:rsidRDefault="00DD6A95">
            <w:pPr>
              <w:spacing w:line="280" w:lineRule="exact"/>
              <w:jc w:val="center"/>
              <w:rPr>
                <w:rFonts w:asciiTheme="minorEastAsia" w:hAnsiTheme="minorEastAsia"/>
                <w:szCs w:val="21"/>
              </w:rPr>
            </w:pPr>
            <w:r>
              <w:rPr>
                <w:rFonts w:ascii="仿宋" w:eastAsia="仿宋" w:hAnsi="仿宋" w:cs="Times New Roman" w:hint="eastAsia"/>
                <w:kern w:val="0"/>
                <w:sz w:val="24"/>
              </w:rPr>
              <w:t>基本功能</w:t>
            </w:r>
          </w:p>
        </w:tc>
        <w:tc>
          <w:tcPr>
            <w:tcW w:w="3574"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4</w:t>
            </w:r>
            <w:r>
              <w:rPr>
                <w:rFonts w:ascii="仿宋" w:eastAsia="仿宋" w:hAnsi="仿宋" w:hint="eastAsia"/>
              </w:rPr>
              <w:t>.</w:t>
            </w:r>
            <w:r>
              <w:rPr>
                <w:rFonts w:ascii="仿宋" w:eastAsia="仿宋" w:hAnsi="仿宋" w:hint="eastAsia"/>
              </w:rPr>
              <w:t>支持</w:t>
            </w:r>
            <w:r>
              <w:rPr>
                <w:rFonts w:ascii="仿宋" w:eastAsia="仿宋" w:hAnsi="仿宋" w:hint="eastAsia"/>
              </w:rPr>
              <w:t>IPv4</w:t>
            </w:r>
            <w:r>
              <w:rPr>
                <w:rFonts w:ascii="仿宋" w:eastAsia="仿宋" w:hAnsi="仿宋" w:hint="eastAsia"/>
              </w:rPr>
              <w:t>和</w:t>
            </w:r>
            <w:r>
              <w:rPr>
                <w:rFonts w:ascii="仿宋" w:eastAsia="仿宋" w:hAnsi="仿宋" w:hint="eastAsia"/>
              </w:rPr>
              <w:t>IP</w:t>
            </w:r>
            <w:r>
              <w:rPr>
                <w:rFonts w:ascii="仿宋" w:eastAsia="仿宋" w:hAnsi="仿宋" w:hint="eastAsia"/>
              </w:rPr>
              <w:t>v6</w:t>
            </w:r>
            <w:r>
              <w:rPr>
                <w:rFonts w:ascii="仿宋" w:eastAsia="仿宋" w:hAnsi="仿宋" w:hint="eastAsia"/>
              </w:rPr>
              <w:t>双栈</w:t>
            </w:r>
            <w:r>
              <w:rPr>
                <w:rFonts w:ascii="仿宋" w:eastAsia="仿宋" w:hAnsi="仿宋" w:hint="eastAsia"/>
              </w:rPr>
              <w:t>网络协议</w:t>
            </w:r>
            <w:r>
              <w:rPr>
                <w:rFonts w:ascii="仿宋" w:eastAsia="仿宋" w:hAnsi="仿宋" w:hint="eastAsia"/>
              </w:rPr>
              <w:t>,</w:t>
            </w:r>
            <w:r>
              <w:rPr>
                <w:rFonts w:ascii="仿宋" w:eastAsia="仿宋" w:hAnsi="仿宋" w:hint="eastAsia"/>
              </w:rPr>
              <w:t>支持</w:t>
            </w:r>
            <w:r>
              <w:rPr>
                <w:rFonts w:ascii="仿宋" w:eastAsia="仿宋" w:hAnsi="仿宋" w:hint="eastAsia"/>
              </w:rPr>
              <w:t>NAT64</w:t>
            </w:r>
            <w:r>
              <w:rPr>
                <w:rFonts w:ascii="仿宋" w:eastAsia="仿宋" w:hAnsi="仿宋" w:hint="eastAsia"/>
              </w:rPr>
              <w:t>、</w:t>
            </w:r>
            <w:r>
              <w:rPr>
                <w:rFonts w:ascii="仿宋" w:eastAsia="仿宋" w:hAnsi="仿宋" w:hint="eastAsia"/>
              </w:rPr>
              <w:t>NAT46</w:t>
            </w:r>
            <w:r>
              <w:rPr>
                <w:rFonts w:ascii="仿宋" w:eastAsia="仿宋" w:hAnsi="仿宋" w:hint="eastAsia"/>
              </w:rPr>
              <w:t>、</w:t>
            </w:r>
            <w:r>
              <w:rPr>
                <w:rFonts w:ascii="仿宋" w:eastAsia="仿宋" w:hAnsi="仿宋" w:hint="eastAsia"/>
              </w:rPr>
              <w:t>NAT66</w:t>
            </w:r>
            <w:r>
              <w:rPr>
                <w:rFonts w:ascii="仿宋" w:eastAsia="仿宋" w:hAnsi="仿宋" w:hint="eastAsia"/>
              </w:rPr>
              <w:t>、</w:t>
            </w:r>
            <w:r>
              <w:rPr>
                <w:rFonts w:ascii="仿宋" w:eastAsia="仿宋" w:hAnsi="仿宋" w:hint="eastAsia"/>
              </w:rPr>
              <w:t>NAT44</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5</w:t>
            </w:r>
            <w:r>
              <w:rPr>
                <w:rFonts w:ascii="仿宋" w:eastAsia="仿宋" w:hAnsi="仿宋" w:hint="eastAsia"/>
              </w:rPr>
              <w:t>.</w:t>
            </w:r>
            <w:r>
              <w:rPr>
                <w:rFonts w:ascii="仿宋" w:eastAsia="仿宋" w:hAnsi="仿宋" w:hint="eastAsia"/>
              </w:rPr>
              <w:t>支持主备、主主部署模式；</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6.</w:t>
            </w:r>
            <w:r>
              <w:rPr>
                <w:rFonts w:ascii="仿宋" w:eastAsia="仿宋" w:hAnsi="仿宋" w:hint="eastAsia"/>
              </w:rPr>
              <w:t>支持单向、双向</w:t>
            </w:r>
            <w:r>
              <w:rPr>
                <w:rFonts w:ascii="仿宋" w:eastAsia="仿宋" w:hAnsi="仿宋" w:hint="eastAsia"/>
              </w:rPr>
              <w:t>SSL</w:t>
            </w:r>
            <w:r>
              <w:rPr>
                <w:rFonts w:ascii="仿宋" w:eastAsia="仿宋" w:hAnsi="仿宋" w:hint="eastAsia"/>
              </w:rPr>
              <w:t>卸载，支持标准的</w:t>
            </w:r>
            <w:r>
              <w:rPr>
                <w:rFonts w:ascii="仿宋" w:eastAsia="仿宋" w:hAnsi="仿宋" w:hint="eastAsia"/>
              </w:rPr>
              <w:t xml:space="preserve"> SSL3.0</w:t>
            </w:r>
            <w:r>
              <w:rPr>
                <w:rFonts w:ascii="仿宋" w:eastAsia="仿宋" w:hAnsi="仿宋" w:hint="eastAsia"/>
              </w:rPr>
              <w:t>、</w:t>
            </w:r>
            <w:r>
              <w:rPr>
                <w:rFonts w:ascii="仿宋" w:eastAsia="仿宋" w:hAnsi="仿宋" w:hint="eastAsia"/>
              </w:rPr>
              <w:t>TLS1.0</w:t>
            </w:r>
            <w:r>
              <w:rPr>
                <w:rFonts w:ascii="仿宋" w:eastAsia="仿宋" w:hAnsi="仿宋" w:hint="eastAsia"/>
              </w:rPr>
              <w:t>、</w:t>
            </w:r>
            <w:r>
              <w:rPr>
                <w:rFonts w:ascii="仿宋" w:eastAsia="仿宋" w:hAnsi="仿宋" w:hint="eastAsia"/>
              </w:rPr>
              <w:t>TLS1.2</w:t>
            </w:r>
            <w:r>
              <w:rPr>
                <w:rFonts w:ascii="仿宋" w:eastAsia="仿宋" w:hAnsi="仿宋" w:hint="eastAsia"/>
              </w:rPr>
              <w:t>、</w:t>
            </w:r>
            <w:r>
              <w:rPr>
                <w:rFonts w:ascii="仿宋" w:eastAsia="仿宋" w:hAnsi="仿宋" w:hint="eastAsia"/>
              </w:rPr>
              <w:t>SM2v1.1</w:t>
            </w:r>
            <w:r>
              <w:rPr>
                <w:rFonts w:ascii="仿宋" w:eastAsia="仿宋" w:hAnsi="仿宋" w:hint="eastAsia"/>
              </w:rPr>
              <w:t>等</w:t>
            </w:r>
            <w:r>
              <w:rPr>
                <w:rFonts w:ascii="仿宋" w:eastAsia="仿宋" w:hAnsi="仿宋" w:hint="eastAsia"/>
              </w:rPr>
              <w:t>协议；</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7.</w:t>
            </w:r>
            <w:r>
              <w:rPr>
                <w:rFonts w:ascii="仿宋" w:eastAsia="仿宋" w:hAnsi="仿宋" w:hint="eastAsia"/>
              </w:rPr>
              <w:t>SSL</w:t>
            </w:r>
            <w:r>
              <w:rPr>
                <w:rFonts w:ascii="仿宋" w:eastAsia="仿宋" w:hAnsi="仿宋" w:hint="eastAsia"/>
              </w:rPr>
              <w:t>算法可配置，过滤弱算法，拒绝未配置的客户端算法请求</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8.</w:t>
            </w:r>
            <w:r>
              <w:rPr>
                <w:rFonts w:ascii="仿宋" w:eastAsia="仿宋" w:hAnsi="仿宋" w:hint="eastAsia"/>
              </w:rPr>
              <w:t>支持通用的主流加密算法，包括</w:t>
            </w:r>
            <w:r>
              <w:rPr>
                <w:rFonts w:ascii="仿宋" w:eastAsia="仿宋" w:hAnsi="仿宋" w:hint="eastAsia"/>
              </w:rPr>
              <w:t xml:space="preserve"> DES</w:t>
            </w:r>
            <w:r>
              <w:rPr>
                <w:rFonts w:ascii="仿宋" w:eastAsia="仿宋" w:hAnsi="仿宋" w:hint="eastAsia"/>
              </w:rPr>
              <w:t>、</w:t>
            </w:r>
            <w:r>
              <w:rPr>
                <w:rFonts w:ascii="仿宋" w:eastAsia="仿宋" w:hAnsi="仿宋" w:hint="eastAsia"/>
              </w:rPr>
              <w:t>AES</w:t>
            </w:r>
            <w:r>
              <w:rPr>
                <w:rFonts w:ascii="仿宋" w:eastAsia="仿宋" w:hAnsi="仿宋" w:hint="eastAsia"/>
              </w:rPr>
              <w:t>、</w:t>
            </w:r>
            <w:r>
              <w:rPr>
                <w:rFonts w:ascii="仿宋" w:eastAsia="仿宋" w:hAnsi="仿宋" w:hint="eastAsia"/>
              </w:rPr>
              <w:t>3DES</w:t>
            </w:r>
            <w:r>
              <w:rPr>
                <w:rFonts w:ascii="仿宋" w:eastAsia="仿宋" w:hAnsi="仿宋" w:hint="eastAsia"/>
              </w:rPr>
              <w:t>、</w:t>
            </w:r>
            <w:r>
              <w:rPr>
                <w:rFonts w:ascii="仿宋" w:eastAsia="仿宋" w:hAnsi="仿宋" w:hint="eastAsia"/>
              </w:rPr>
              <w:t xml:space="preserve">RC4 </w:t>
            </w:r>
            <w:r>
              <w:rPr>
                <w:rFonts w:ascii="仿宋" w:eastAsia="仿宋" w:hAnsi="仿宋" w:hint="eastAsia"/>
              </w:rPr>
              <w:t>及国产加密算法</w:t>
            </w:r>
            <w:r>
              <w:rPr>
                <w:rFonts w:ascii="仿宋" w:eastAsia="仿宋" w:hAnsi="仿宋" w:hint="eastAsia"/>
              </w:rPr>
              <w:t>（</w:t>
            </w:r>
            <w:r>
              <w:rPr>
                <w:rFonts w:ascii="仿宋" w:eastAsia="仿宋" w:hAnsi="仿宋" w:hint="eastAsia"/>
              </w:rPr>
              <w:t>SM2</w:t>
            </w:r>
            <w:r>
              <w:rPr>
                <w:rFonts w:ascii="仿宋" w:eastAsia="仿宋" w:hAnsi="仿宋" w:hint="eastAsia"/>
              </w:rPr>
              <w:t>、</w:t>
            </w:r>
            <w:r>
              <w:rPr>
                <w:rFonts w:ascii="仿宋" w:eastAsia="仿宋" w:hAnsi="仿宋" w:hint="eastAsia"/>
              </w:rPr>
              <w:t>SM3</w:t>
            </w:r>
            <w:r>
              <w:rPr>
                <w:rFonts w:ascii="仿宋" w:eastAsia="仿宋" w:hAnsi="仿宋" w:hint="eastAsia"/>
              </w:rPr>
              <w:t>、</w:t>
            </w:r>
            <w:r>
              <w:rPr>
                <w:rFonts w:ascii="仿宋" w:eastAsia="仿宋" w:hAnsi="仿宋" w:hint="eastAsia"/>
              </w:rPr>
              <w:t>SM4</w:t>
            </w:r>
            <w:r>
              <w:rPr>
                <w:rFonts w:ascii="仿宋" w:eastAsia="仿宋" w:hAnsi="仿宋" w:hint="eastAsia"/>
              </w:rPr>
              <w:t>等</w:t>
            </w:r>
            <w:r>
              <w:rPr>
                <w:rFonts w:ascii="仿宋" w:eastAsia="仿宋" w:hAnsi="仿宋" w:hint="eastAsia"/>
              </w:rPr>
              <w:t>）</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9.</w:t>
            </w:r>
            <w:r>
              <w:rPr>
                <w:rFonts w:ascii="仿宋" w:eastAsia="仿宋" w:hAnsi="仿宋" w:hint="eastAsia"/>
              </w:rPr>
              <w:t>支持丰富的健康检查方法，包括但不限于：</w:t>
            </w:r>
            <w:r>
              <w:rPr>
                <w:rFonts w:ascii="仿宋" w:eastAsia="仿宋" w:hAnsi="仿宋" w:hint="eastAsia"/>
              </w:rPr>
              <w:t>ICMP</w:t>
            </w:r>
            <w:r>
              <w:rPr>
                <w:rFonts w:ascii="仿宋" w:eastAsia="仿宋" w:hAnsi="仿宋" w:hint="eastAsia"/>
              </w:rPr>
              <w:t>、</w:t>
            </w:r>
            <w:r>
              <w:rPr>
                <w:rFonts w:ascii="仿宋" w:eastAsia="仿宋" w:hAnsi="仿宋" w:hint="eastAsia"/>
              </w:rPr>
              <w:t>TCP</w:t>
            </w:r>
            <w:r>
              <w:rPr>
                <w:rFonts w:ascii="仿宋" w:eastAsia="仿宋" w:hAnsi="仿宋" w:hint="eastAsia"/>
              </w:rPr>
              <w:t>、</w:t>
            </w:r>
            <w:r>
              <w:rPr>
                <w:rFonts w:ascii="仿宋" w:eastAsia="仿宋" w:hAnsi="仿宋" w:hint="eastAsia"/>
              </w:rPr>
              <w:t>UDP</w:t>
            </w:r>
            <w:r>
              <w:rPr>
                <w:rFonts w:ascii="仿宋" w:eastAsia="仿宋" w:hAnsi="仿宋" w:hint="eastAsia"/>
              </w:rPr>
              <w:t>、</w:t>
            </w:r>
            <w:r>
              <w:rPr>
                <w:rFonts w:ascii="仿宋" w:eastAsia="仿宋" w:hAnsi="仿宋" w:hint="eastAsia"/>
              </w:rPr>
              <w:t>HTTP</w:t>
            </w:r>
            <w:r>
              <w:rPr>
                <w:rFonts w:ascii="仿宋" w:eastAsia="仿宋" w:hAnsi="仿宋" w:hint="eastAsia"/>
              </w:rPr>
              <w:t>、</w:t>
            </w:r>
            <w:r>
              <w:rPr>
                <w:rFonts w:ascii="仿宋" w:eastAsia="仿宋" w:hAnsi="仿宋" w:hint="eastAsia"/>
              </w:rPr>
              <w:t>HTTPS</w:t>
            </w:r>
            <w:r>
              <w:rPr>
                <w:rFonts w:ascii="仿宋" w:eastAsia="仿宋" w:hAnsi="仿宋" w:hint="eastAsia"/>
              </w:rPr>
              <w:t>、</w:t>
            </w:r>
            <w:r>
              <w:rPr>
                <w:rFonts w:ascii="仿宋" w:eastAsia="仿宋" w:hAnsi="仿宋" w:hint="eastAsia"/>
              </w:rPr>
              <w:t>FTP</w:t>
            </w:r>
            <w:r>
              <w:rPr>
                <w:rFonts w:ascii="仿宋" w:eastAsia="仿宋" w:hAnsi="仿宋" w:hint="eastAsia"/>
              </w:rPr>
              <w:t>、</w:t>
            </w:r>
            <w:r>
              <w:rPr>
                <w:rFonts w:ascii="仿宋" w:eastAsia="仿宋" w:hAnsi="仿宋" w:hint="eastAsia"/>
              </w:rPr>
              <w:t>SNMP</w:t>
            </w:r>
            <w:r>
              <w:rPr>
                <w:rFonts w:ascii="仿宋" w:eastAsia="仿宋" w:hAnsi="仿宋" w:hint="eastAsia"/>
              </w:rPr>
              <w:t>等多种服务器健康检查方式</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10.</w:t>
            </w:r>
            <w:r>
              <w:rPr>
                <w:rFonts w:ascii="仿宋" w:eastAsia="仿宋" w:hAnsi="仿宋" w:hint="eastAsia"/>
              </w:rPr>
              <w:t>支持客户端证书过滤功能，支持基于</w:t>
            </w:r>
            <w:r>
              <w:rPr>
                <w:rFonts w:ascii="仿宋" w:eastAsia="仿宋" w:hAnsi="仿宋" w:hint="eastAsia"/>
              </w:rPr>
              <w:t>issus</w:t>
            </w:r>
            <w:r>
              <w:rPr>
                <w:rFonts w:ascii="仿宋" w:eastAsia="仿宋" w:hAnsi="仿宋" w:hint="eastAsia"/>
              </w:rPr>
              <w:t>、</w:t>
            </w:r>
            <w:r>
              <w:rPr>
                <w:rFonts w:ascii="仿宋" w:eastAsia="仿宋" w:hAnsi="仿宋" w:hint="eastAsia"/>
              </w:rPr>
              <w:t>subject</w:t>
            </w:r>
            <w:r>
              <w:rPr>
                <w:rFonts w:ascii="仿宋" w:eastAsia="仿宋" w:hAnsi="仿宋" w:hint="eastAsia"/>
              </w:rPr>
              <w:t>等拒绝连接</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11.</w:t>
            </w:r>
            <w:r>
              <w:rPr>
                <w:rFonts w:ascii="仿宋" w:eastAsia="仿宋" w:hAnsi="仿宋"/>
              </w:rPr>
              <w:t>支持同一服务下</w:t>
            </w:r>
            <w:r>
              <w:rPr>
                <w:rFonts w:ascii="仿宋" w:eastAsia="仿宋" w:hAnsi="仿宋" w:hint="eastAsia"/>
              </w:rPr>
              <w:t>使用</w:t>
            </w:r>
            <w:r>
              <w:rPr>
                <w:rFonts w:ascii="仿宋" w:eastAsia="仿宋" w:hAnsi="仿宋"/>
              </w:rPr>
              <w:t>多套证书可以分别设置</w:t>
            </w:r>
            <w:r>
              <w:rPr>
                <w:rFonts w:ascii="仿宋" w:eastAsia="仿宋" w:hAnsi="仿宋"/>
              </w:rPr>
              <w:t>SSL</w:t>
            </w:r>
            <w:r>
              <w:rPr>
                <w:rFonts w:ascii="仿宋" w:eastAsia="仿宋" w:hAnsi="仿宋"/>
              </w:rPr>
              <w:t>协议、加密套件以及客户端认证策略</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12.</w:t>
            </w:r>
            <w:r>
              <w:rPr>
                <w:rFonts w:ascii="仿宋" w:eastAsia="仿宋" w:hAnsi="仿宋" w:hint="eastAsia"/>
              </w:rPr>
              <w:t>支持对设备硬件状态进行监控和告警</w:t>
            </w:r>
            <w:r>
              <w:rPr>
                <w:rFonts w:ascii="仿宋" w:eastAsia="仿宋" w:hAnsi="仿宋" w:hint="eastAsia"/>
              </w:rPr>
              <w:t>阈值设定，支持</w:t>
            </w:r>
            <w:r>
              <w:rPr>
                <w:rFonts w:ascii="仿宋" w:eastAsia="仿宋" w:hAnsi="仿宋" w:hint="eastAsia"/>
              </w:rPr>
              <w:t>syslog</w:t>
            </w:r>
            <w:r>
              <w:rPr>
                <w:rFonts w:ascii="仿宋" w:eastAsia="仿宋" w:hAnsi="仿宋" w:hint="eastAsia"/>
              </w:rPr>
              <w:t>和</w:t>
            </w:r>
            <w:r>
              <w:rPr>
                <w:rFonts w:ascii="仿宋" w:eastAsia="仿宋" w:hAnsi="仿宋" w:hint="eastAsia"/>
              </w:rPr>
              <w:t>snmp</w:t>
            </w:r>
            <w:r>
              <w:rPr>
                <w:rFonts w:ascii="仿宋" w:eastAsia="仿宋" w:hAnsi="仿宋" w:hint="eastAsia"/>
              </w:rPr>
              <w:t>发送相关告警</w:t>
            </w:r>
            <w:r>
              <w:rPr>
                <w:rFonts w:ascii="仿宋" w:eastAsia="仿宋" w:hAnsi="仿宋" w:hint="eastAsia"/>
              </w:rPr>
              <w:t>，支持监控</w:t>
            </w:r>
            <w:r>
              <w:rPr>
                <w:rFonts w:ascii="仿宋" w:eastAsia="仿宋" w:hAnsi="仿宋" w:hint="eastAsia"/>
              </w:rPr>
              <w:t>信息</w:t>
            </w:r>
            <w:r>
              <w:rPr>
                <w:rFonts w:ascii="仿宋" w:eastAsia="仿宋" w:hAnsi="仿宋" w:hint="eastAsia"/>
              </w:rPr>
              <w:t>web</w:t>
            </w:r>
            <w:r>
              <w:rPr>
                <w:rFonts w:ascii="仿宋" w:eastAsia="仿宋" w:hAnsi="仿宋" w:hint="eastAsia"/>
              </w:rPr>
              <w:t>页面展示</w:t>
            </w:r>
            <w:r>
              <w:rPr>
                <w:rFonts w:ascii="仿宋" w:eastAsia="仿宋" w:hAnsi="仿宋" w:hint="eastAsia"/>
              </w:rPr>
              <w:t>，直观查看设备运行情况</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13.</w:t>
            </w:r>
            <w:r>
              <w:rPr>
                <w:rFonts w:ascii="仿宋" w:eastAsia="仿宋" w:hAnsi="仿宋" w:hint="eastAsia"/>
              </w:rPr>
              <w:t>支持</w:t>
            </w:r>
            <w:r>
              <w:rPr>
                <w:rFonts w:ascii="仿宋" w:eastAsia="仿宋" w:hAnsi="仿宋" w:hint="eastAsia"/>
              </w:rPr>
              <w:t>SNMPv1</w:t>
            </w:r>
            <w:r>
              <w:rPr>
                <w:rFonts w:ascii="仿宋" w:eastAsia="仿宋" w:hAnsi="仿宋" w:hint="eastAsia"/>
              </w:rPr>
              <w:t>、</w:t>
            </w:r>
            <w:r>
              <w:rPr>
                <w:rFonts w:ascii="仿宋" w:eastAsia="仿宋" w:hAnsi="仿宋" w:hint="eastAsia"/>
              </w:rPr>
              <w:t>SNMPv2</w:t>
            </w:r>
            <w:r>
              <w:rPr>
                <w:rFonts w:ascii="仿宋" w:eastAsia="仿宋" w:hAnsi="仿宋" w:hint="eastAsia"/>
              </w:rPr>
              <w:t>、</w:t>
            </w:r>
            <w:r>
              <w:rPr>
                <w:rFonts w:ascii="仿宋" w:eastAsia="仿宋" w:hAnsi="仿宋" w:hint="eastAsia"/>
              </w:rPr>
              <w:t>SNMPv3</w:t>
            </w:r>
            <w:r>
              <w:rPr>
                <w:rFonts w:ascii="仿宋" w:eastAsia="仿宋" w:hAnsi="仿宋" w:hint="eastAsia"/>
              </w:rPr>
              <w:t>等网络管理协议；</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14.</w:t>
            </w:r>
            <w:r>
              <w:rPr>
                <w:rFonts w:ascii="仿宋" w:eastAsia="仿宋" w:hAnsi="仿宋" w:hint="eastAsia"/>
              </w:rPr>
              <w:t>单一设备可同时支持服务器负载均衡和</w:t>
            </w:r>
            <w:r>
              <w:rPr>
                <w:rFonts w:ascii="仿宋" w:eastAsia="仿宋" w:hAnsi="仿宋" w:hint="eastAsia"/>
              </w:rPr>
              <w:t>SSL</w:t>
            </w:r>
            <w:r>
              <w:rPr>
                <w:rFonts w:ascii="仿宋" w:eastAsia="仿宋" w:hAnsi="仿宋" w:hint="eastAsia"/>
              </w:rPr>
              <w:t>卸载功能功能</w:t>
            </w:r>
            <w:r>
              <w:rPr>
                <w:rFonts w:ascii="仿宋" w:eastAsia="仿宋" w:hAnsi="仿宋" w:hint="eastAsia"/>
              </w:rPr>
              <w:t>，</w:t>
            </w:r>
            <w:r>
              <w:rPr>
                <w:rFonts w:ascii="仿宋" w:eastAsia="仿宋" w:hAnsi="仿宋" w:hint="eastAsia"/>
              </w:rPr>
              <w:t>且</w:t>
            </w:r>
            <w:r>
              <w:rPr>
                <w:rFonts w:ascii="仿宋" w:eastAsia="仿宋" w:hAnsi="仿宋" w:hint="eastAsia"/>
              </w:rPr>
              <w:t>同时处于激活可使用状态，无需额外购买相应授权</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15.</w:t>
            </w:r>
            <w:r>
              <w:rPr>
                <w:rFonts w:ascii="仿宋" w:eastAsia="仿宋" w:hAnsi="仿宋" w:hint="eastAsia"/>
              </w:rPr>
              <w:t>支持轮询、加权轮询、最少用户数、</w:t>
            </w:r>
            <w:r>
              <w:rPr>
                <w:rFonts w:ascii="仿宋" w:eastAsia="仿宋" w:hAnsi="仿宋" w:hint="eastAsia"/>
              </w:rPr>
              <w:t>HASH</w:t>
            </w:r>
            <w:r>
              <w:rPr>
                <w:rFonts w:ascii="仿宋" w:eastAsia="仿宋" w:hAnsi="仿宋" w:hint="eastAsia"/>
              </w:rPr>
              <w:t>、最少流量</w:t>
            </w:r>
            <w:r>
              <w:rPr>
                <w:rFonts w:ascii="仿宋" w:eastAsia="仿宋" w:hAnsi="仿宋" w:hint="eastAsia"/>
              </w:rPr>
              <w:t>等负载均衡</w:t>
            </w:r>
            <w:r>
              <w:rPr>
                <w:rFonts w:ascii="仿宋" w:eastAsia="仿宋" w:hAnsi="仿宋" w:hint="eastAsia"/>
              </w:rPr>
              <w:t>算法</w:t>
            </w:r>
            <w:r>
              <w:rPr>
                <w:rFonts w:ascii="仿宋" w:eastAsia="仿宋" w:hAnsi="仿宋" w:hint="eastAsia"/>
              </w:rPr>
              <w:t>；</w:t>
            </w:r>
          </w:p>
        </w:tc>
        <w:tc>
          <w:tcPr>
            <w:tcW w:w="742" w:type="pct"/>
            <w:tcBorders>
              <w:bottom w:val="single" w:sz="4" w:space="0" w:color="auto"/>
            </w:tcBorders>
            <w:vAlign w:val="center"/>
          </w:tcPr>
          <w:p w:rsidR="006B4DDD" w:rsidRDefault="006B4DDD">
            <w:pPr>
              <w:pStyle w:val="10"/>
              <w:spacing w:line="280" w:lineRule="exact"/>
              <w:ind w:firstLineChars="0" w:firstLine="0"/>
              <w:rPr>
                <w:rFonts w:ascii="仿宋" w:eastAsia="仿宋" w:hAnsi="仿宋"/>
              </w:rPr>
            </w:pPr>
          </w:p>
        </w:tc>
      </w:tr>
      <w:tr w:rsidR="006B4DDD">
        <w:trPr>
          <w:trHeight w:val="2597"/>
          <w:jc w:val="center"/>
        </w:trPr>
        <w:tc>
          <w:tcPr>
            <w:tcW w:w="683" w:type="pct"/>
            <w:tcBorders>
              <w:bottom w:val="single" w:sz="4" w:space="0" w:color="auto"/>
            </w:tcBorders>
            <w:vAlign w:val="center"/>
          </w:tcPr>
          <w:p w:rsidR="006B4DDD" w:rsidRDefault="00DD6A95">
            <w:pPr>
              <w:spacing w:line="280" w:lineRule="exact"/>
              <w:jc w:val="center"/>
              <w:rPr>
                <w:rFonts w:ascii="仿宋" w:eastAsia="仿宋" w:hAnsi="仿宋" w:cs="Times New Roman"/>
                <w:kern w:val="0"/>
                <w:sz w:val="24"/>
              </w:rPr>
            </w:pPr>
            <w:r>
              <w:rPr>
                <w:rFonts w:ascii="仿宋" w:eastAsia="仿宋" w:hAnsi="仿宋" w:cs="Times New Roman" w:hint="eastAsia"/>
                <w:kern w:val="0"/>
                <w:sz w:val="24"/>
              </w:rPr>
              <w:lastRenderedPageBreak/>
              <w:t>产品资质</w:t>
            </w:r>
          </w:p>
        </w:tc>
        <w:tc>
          <w:tcPr>
            <w:tcW w:w="3574"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16.</w:t>
            </w:r>
            <w:r>
              <w:rPr>
                <w:rFonts w:ascii="仿宋" w:eastAsia="仿宋" w:hAnsi="仿宋" w:hint="eastAsia"/>
                <w:color w:val="000000" w:themeColor="text1"/>
              </w:rPr>
              <w:t>投标设备具有</w:t>
            </w:r>
            <w:r>
              <w:rPr>
                <w:rFonts w:ascii="仿宋" w:eastAsia="仿宋" w:hAnsi="仿宋" w:hint="eastAsia"/>
                <w:color w:val="000000" w:themeColor="text1"/>
              </w:rPr>
              <w:t>国家公安部颁发的</w:t>
            </w:r>
            <w:r>
              <w:rPr>
                <w:rFonts w:ascii="仿宋" w:eastAsia="仿宋" w:hAnsi="仿宋" w:hint="eastAsia"/>
                <w:color w:val="000000" w:themeColor="text1"/>
              </w:rPr>
              <w:t>《计算机信息系统安全专用产品销售许可证》证书；</w:t>
            </w:r>
          </w:p>
          <w:p w:rsidR="006B4DDD" w:rsidRDefault="00DD6A95">
            <w:pPr>
              <w:pStyle w:val="10"/>
              <w:spacing w:line="280" w:lineRule="exact"/>
              <w:ind w:firstLineChars="0"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17</w:t>
            </w:r>
            <w:r>
              <w:rPr>
                <w:rFonts w:ascii="仿宋" w:eastAsia="仿宋" w:hAnsi="仿宋" w:hint="eastAsia"/>
                <w:color w:val="000000" w:themeColor="text1"/>
              </w:rPr>
              <w:t>.</w:t>
            </w:r>
            <w:r>
              <w:rPr>
                <w:rFonts w:ascii="仿宋" w:eastAsia="仿宋" w:hAnsi="仿宋" w:hint="eastAsia"/>
              </w:rPr>
              <w:t>投标设备具有</w:t>
            </w:r>
            <w:r>
              <w:rPr>
                <w:rFonts w:ascii="仿宋" w:eastAsia="仿宋" w:hAnsi="仿宋" w:hint="eastAsia"/>
              </w:rPr>
              <w:t>国家版权局颁发的</w:t>
            </w:r>
            <w:r>
              <w:rPr>
                <w:rFonts w:ascii="仿宋" w:eastAsia="仿宋" w:hAnsi="仿宋" w:hint="eastAsia"/>
              </w:rPr>
              <w:t>《计算机软件著作权登记证书》证书</w:t>
            </w:r>
            <w:r>
              <w:rPr>
                <w:rFonts w:ascii="仿宋" w:eastAsia="仿宋" w:hAnsi="仿宋" w:hint="eastAsia"/>
                <w:color w:val="000000" w:themeColor="text1"/>
              </w:rPr>
              <w:t>；</w:t>
            </w:r>
          </w:p>
          <w:p w:rsidR="006B4DDD" w:rsidRDefault="00DD6A95">
            <w:pPr>
              <w:pStyle w:val="10"/>
              <w:spacing w:line="280" w:lineRule="exact"/>
              <w:ind w:firstLineChars="0"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18</w:t>
            </w:r>
            <w:r>
              <w:rPr>
                <w:rFonts w:ascii="仿宋" w:eastAsia="仿宋" w:hAnsi="仿宋" w:hint="eastAsia"/>
                <w:color w:val="000000" w:themeColor="text1"/>
              </w:rPr>
              <w:t>.</w:t>
            </w:r>
            <w:r>
              <w:rPr>
                <w:rFonts w:ascii="仿宋" w:eastAsia="仿宋" w:hAnsi="仿宋" w:cstheme="minorBidi" w:hint="eastAsia"/>
                <w:kern w:val="2"/>
              </w:rPr>
              <w:t>投标设备具有《</w:t>
            </w:r>
            <w:r>
              <w:rPr>
                <w:rFonts w:ascii="仿宋" w:eastAsia="仿宋" w:hAnsi="仿宋" w:cstheme="minorBidi" w:hint="eastAsia"/>
                <w:kern w:val="2"/>
              </w:rPr>
              <w:t>IPV6 Ready</w:t>
            </w:r>
            <w:r>
              <w:rPr>
                <w:rFonts w:ascii="仿宋" w:eastAsia="仿宋" w:hAnsi="仿宋" w:cstheme="minorBidi" w:hint="eastAsia"/>
                <w:kern w:val="2"/>
              </w:rPr>
              <w:t>认证证书》</w:t>
            </w:r>
            <w:r>
              <w:rPr>
                <w:rFonts w:ascii="仿宋" w:eastAsia="仿宋" w:hAnsi="仿宋" w:hint="eastAsia"/>
                <w:color w:val="000000" w:themeColor="text1"/>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color w:val="000000" w:themeColor="text1"/>
              </w:rPr>
              <w:t>★</w:t>
            </w:r>
            <w:r>
              <w:rPr>
                <w:rFonts w:ascii="仿宋" w:eastAsia="仿宋" w:hAnsi="仿宋" w:hint="eastAsia"/>
                <w:color w:val="000000" w:themeColor="text1"/>
              </w:rPr>
              <w:t>19</w:t>
            </w:r>
            <w:r>
              <w:rPr>
                <w:rFonts w:ascii="仿宋" w:eastAsia="仿宋" w:hAnsi="仿宋" w:hint="eastAsia"/>
                <w:color w:val="000000" w:themeColor="text1"/>
              </w:rPr>
              <w:t>.</w:t>
            </w:r>
            <w:r>
              <w:rPr>
                <w:rFonts w:ascii="仿宋" w:eastAsia="仿宋" w:hAnsi="仿宋" w:hint="eastAsia"/>
              </w:rPr>
              <w:t>设备</w:t>
            </w:r>
            <w:r>
              <w:rPr>
                <w:rFonts w:ascii="仿宋" w:eastAsia="仿宋" w:hAnsi="仿宋" w:hint="eastAsia"/>
              </w:rPr>
              <w:t>具有国家密码管理局颁发的《商用密码产品认证证书》，《密码模块安全技术要求》</w:t>
            </w:r>
            <w:r>
              <w:rPr>
                <w:rFonts w:ascii="仿宋" w:eastAsia="仿宋" w:hAnsi="仿宋" w:hint="eastAsia"/>
              </w:rPr>
              <w:t>满足</w:t>
            </w:r>
            <w:r>
              <w:rPr>
                <w:rFonts w:ascii="仿宋" w:eastAsia="仿宋" w:hAnsi="仿宋" w:hint="eastAsia"/>
              </w:rPr>
              <w:t>第二级</w:t>
            </w:r>
            <w:r>
              <w:rPr>
                <w:rFonts w:ascii="仿宋" w:eastAsia="仿宋" w:hAnsi="仿宋" w:hint="eastAsia"/>
              </w:rPr>
              <w:t>及以上等级</w:t>
            </w:r>
            <w:r>
              <w:rPr>
                <w:rFonts w:ascii="仿宋" w:eastAsia="仿宋" w:hAnsi="仿宋" w:hint="eastAsia"/>
              </w:rPr>
              <w:t>要求</w:t>
            </w:r>
            <w:r>
              <w:rPr>
                <w:rFonts w:ascii="仿宋" w:eastAsia="仿宋" w:hAnsi="仿宋" w:hint="eastAsia"/>
              </w:rPr>
              <w:t>；</w:t>
            </w:r>
          </w:p>
        </w:tc>
        <w:tc>
          <w:tcPr>
            <w:tcW w:w="742"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提供证明材料并加盖公章</w:t>
            </w:r>
          </w:p>
        </w:tc>
      </w:tr>
      <w:tr w:rsidR="006B4DDD">
        <w:trPr>
          <w:trHeight w:val="949"/>
          <w:jc w:val="center"/>
        </w:trPr>
        <w:tc>
          <w:tcPr>
            <w:tcW w:w="683" w:type="pct"/>
            <w:vAlign w:val="center"/>
          </w:tcPr>
          <w:p w:rsidR="006B4DDD" w:rsidRDefault="00DD6A95">
            <w:pPr>
              <w:spacing w:line="280" w:lineRule="exact"/>
              <w:jc w:val="center"/>
              <w:rPr>
                <w:rFonts w:ascii="仿宋" w:eastAsia="仿宋" w:hAnsi="仿宋" w:cs="Times New Roman"/>
                <w:kern w:val="0"/>
                <w:sz w:val="24"/>
              </w:rPr>
            </w:pPr>
            <w:r>
              <w:rPr>
                <w:rFonts w:ascii="仿宋" w:eastAsia="仿宋" w:hAnsi="仿宋" w:cs="Times New Roman" w:hint="eastAsia"/>
                <w:kern w:val="0"/>
                <w:sz w:val="24"/>
              </w:rPr>
              <w:t>服务</w:t>
            </w:r>
          </w:p>
        </w:tc>
        <w:tc>
          <w:tcPr>
            <w:tcW w:w="3574" w:type="pct"/>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20.</w:t>
            </w:r>
            <w:r>
              <w:rPr>
                <w:rFonts w:ascii="仿宋" w:eastAsia="仿宋" w:hAnsi="仿宋" w:hint="eastAsia"/>
              </w:rPr>
              <w:t>提供原厂五年免费质保；</w:t>
            </w:r>
          </w:p>
        </w:tc>
        <w:tc>
          <w:tcPr>
            <w:tcW w:w="742" w:type="pct"/>
            <w:vAlign w:val="center"/>
          </w:tcPr>
          <w:p w:rsidR="006B4DDD" w:rsidRDefault="006B4DDD">
            <w:pPr>
              <w:pStyle w:val="10"/>
              <w:spacing w:line="280" w:lineRule="exact"/>
              <w:ind w:firstLineChars="0" w:firstLine="0"/>
              <w:rPr>
                <w:rFonts w:ascii="仿宋" w:eastAsia="仿宋" w:hAnsi="仿宋"/>
              </w:rPr>
            </w:pPr>
          </w:p>
        </w:tc>
      </w:tr>
      <w:tr w:rsidR="006B4DDD">
        <w:trPr>
          <w:trHeight w:val="949"/>
          <w:jc w:val="center"/>
        </w:trPr>
        <w:tc>
          <w:tcPr>
            <w:tcW w:w="683" w:type="pct"/>
            <w:vAlign w:val="center"/>
          </w:tcPr>
          <w:p w:rsidR="006B4DDD" w:rsidRDefault="00DD6A95">
            <w:pPr>
              <w:spacing w:line="280" w:lineRule="exact"/>
              <w:jc w:val="center"/>
              <w:rPr>
                <w:rFonts w:ascii="仿宋" w:eastAsia="仿宋" w:hAnsi="仿宋" w:cs="Times New Roman"/>
                <w:kern w:val="0"/>
                <w:sz w:val="24"/>
              </w:rPr>
            </w:pPr>
            <w:r>
              <w:rPr>
                <w:rFonts w:ascii="仿宋" w:eastAsia="仿宋" w:hAnsi="仿宋" w:cs="Times New Roman" w:hint="eastAsia"/>
                <w:kern w:val="0"/>
                <w:sz w:val="24"/>
              </w:rPr>
              <w:t>其他</w:t>
            </w:r>
          </w:p>
        </w:tc>
        <w:tc>
          <w:tcPr>
            <w:tcW w:w="3574" w:type="pct"/>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w:t>
            </w:r>
            <w:r>
              <w:rPr>
                <w:rFonts w:ascii="仿宋" w:eastAsia="仿宋" w:hAnsi="仿宋" w:hint="eastAsia"/>
              </w:rPr>
              <w:t>21.</w:t>
            </w:r>
            <w:r>
              <w:rPr>
                <w:rFonts w:ascii="仿宋" w:eastAsia="仿宋" w:hAnsi="仿宋" w:hint="eastAsia"/>
              </w:rPr>
              <w:t>近三年</w:t>
            </w:r>
            <w:r>
              <w:rPr>
                <w:rFonts w:ascii="仿宋" w:eastAsia="仿宋" w:hAnsi="仿宋" w:hint="eastAsia"/>
              </w:rPr>
              <w:t>(2021</w:t>
            </w:r>
            <w:r>
              <w:rPr>
                <w:rFonts w:ascii="仿宋" w:eastAsia="仿宋" w:hAnsi="仿宋" w:hint="eastAsia"/>
              </w:rPr>
              <w:t>年</w:t>
            </w:r>
            <w:r>
              <w:rPr>
                <w:rFonts w:ascii="仿宋" w:eastAsia="仿宋" w:hAnsi="仿宋" w:hint="eastAsia"/>
              </w:rPr>
              <w:t>1</w:t>
            </w:r>
            <w:r>
              <w:rPr>
                <w:rFonts w:ascii="仿宋" w:eastAsia="仿宋" w:hAnsi="仿宋" w:hint="eastAsia"/>
              </w:rPr>
              <w:t>月起</w:t>
            </w:r>
            <w:r>
              <w:rPr>
                <w:rFonts w:ascii="仿宋" w:eastAsia="仿宋" w:hAnsi="仿宋" w:hint="eastAsia"/>
              </w:rPr>
              <w:t>)</w:t>
            </w:r>
            <w:r>
              <w:rPr>
                <w:rFonts w:ascii="仿宋" w:eastAsia="仿宋" w:hAnsi="仿宋" w:hint="eastAsia"/>
              </w:rPr>
              <w:t>投标设备（型号匹配）至少具备</w:t>
            </w:r>
            <w:r>
              <w:rPr>
                <w:rFonts w:ascii="仿宋" w:eastAsia="仿宋" w:hAnsi="仿宋" w:hint="eastAsia"/>
              </w:rPr>
              <w:t>2</w:t>
            </w:r>
            <w:r>
              <w:rPr>
                <w:rFonts w:ascii="仿宋" w:eastAsia="仿宋" w:hAnsi="仿宋" w:hint="eastAsia"/>
              </w:rPr>
              <w:t>个国有大型商业银行总行、全国政策性银行总行、全国性股份制商业银行总行、省级农村信用社（含直辖市农商行）、省级城商行总行信创国密</w:t>
            </w:r>
            <w:r>
              <w:rPr>
                <w:rFonts w:ascii="仿宋" w:eastAsia="仿宋" w:hAnsi="仿宋" w:hint="eastAsia"/>
              </w:rPr>
              <w:t>SSL</w:t>
            </w:r>
            <w:r>
              <w:rPr>
                <w:rFonts w:ascii="仿宋" w:eastAsia="仿宋" w:hAnsi="仿宋" w:hint="eastAsia"/>
              </w:rPr>
              <w:t>代理网关项目实施案例（提供案例合同复印件等证明材料并加盖公章）。</w:t>
            </w:r>
          </w:p>
        </w:tc>
        <w:tc>
          <w:tcPr>
            <w:tcW w:w="742" w:type="pct"/>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提供证明材料并加盖公章</w:t>
            </w:r>
          </w:p>
        </w:tc>
      </w:tr>
    </w:tbl>
    <w:p w:rsidR="006B4DDD" w:rsidRDefault="006B4DDD">
      <w:pPr>
        <w:ind w:firstLine="480"/>
        <w:rPr>
          <w:szCs w:val="28"/>
        </w:rPr>
      </w:pPr>
    </w:p>
    <w:p w:rsidR="006B4DDD" w:rsidRDefault="006B4DDD">
      <w:pPr>
        <w:widowControl/>
        <w:jc w:val="left"/>
        <w:rPr>
          <w:color w:val="000000"/>
        </w:rPr>
      </w:pPr>
    </w:p>
    <w:sectPr w:rsidR="006B4DDD">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A95" w:rsidRDefault="00DD6A95">
      <w:r>
        <w:separator/>
      </w:r>
    </w:p>
  </w:endnote>
  <w:endnote w:type="continuationSeparator" w:id="0">
    <w:p w:rsidR="00DD6A95" w:rsidRDefault="00DD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微软简仿宋">
    <w:altName w:val="仿宋"/>
    <w:charset w:val="00"/>
    <w:family w:val="auto"/>
    <w:pitch w:val="default"/>
  </w:font>
  <w:font w:name="方正大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DD" w:rsidRDefault="00DD6A95">
    <w:pPr>
      <w:pStyle w:val="a6"/>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6B4DDD" w:rsidRDefault="00DD6A95">
                <w:pPr>
                  <w:pStyle w:val="a6"/>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FA7BC2">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A95" w:rsidRDefault="00DD6A95">
      <w:r>
        <w:separator/>
      </w:r>
    </w:p>
  </w:footnote>
  <w:footnote w:type="continuationSeparator" w:id="0">
    <w:p w:rsidR="00DD6A95" w:rsidRDefault="00DD6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2214"/>
    <w:rsid w:val="00002691"/>
    <w:rsid w:val="00005C94"/>
    <w:rsid w:val="00026972"/>
    <w:rsid w:val="00027003"/>
    <w:rsid w:val="00032B59"/>
    <w:rsid w:val="00047815"/>
    <w:rsid w:val="00067D8D"/>
    <w:rsid w:val="00080F4E"/>
    <w:rsid w:val="000830DA"/>
    <w:rsid w:val="000942FC"/>
    <w:rsid w:val="00095BFC"/>
    <w:rsid w:val="000A0286"/>
    <w:rsid w:val="000A7275"/>
    <w:rsid w:val="000B18C7"/>
    <w:rsid w:val="000D6500"/>
    <w:rsid w:val="000E1CA2"/>
    <w:rsid w:val="000E6D84"/>
    <w:rsid w:val="000F373A"/>
    <w:rsid w:val="000F3D0D"/>
    <w:rsid w:val="000F6494"/>
    <w:rsid w:val="00120A5D"/>
    <w:rsid w:val="001223E1"/>
    <w:rsid w:val="00130DED"/>
    <w:rsid w:val="00133446"/>
    <w:rsid w:val="00134718"/>
    <w:rsid w:val="00155BA6"/>
    <w:rsid w:val="00165593"/>
    <w:rsid w:val="00166E07"/>
    <w:rsid w:val="00170F02"/>
    <w:rsid w:val="00180CE4"/>
    <w:rsid w:val="001B0F29"/>
    <w:rsid w:val="001B5889"/>
    <w:rsid w:val="001C1EC4"/>
    <w:rsid w:val="001C3CF5"/>
    <w:rsid w:val="001D46A2"/>
    <w:rsid w:val="001D63D8"/>
    <w:rsid w:val="001F4D6F"/>
    <w:rsid w:val="00205339"/>
    <w:rsid w:val="002304C8"/>
    <w:rsid w:val="00230B74"/>
    <w:rsid w:val="0024595D"/>
    <w:rsid w:val="00250443"/>
    <w:rsid w:val="002669F0"/>
    <w:rsid w:val="00270804"/>
    <w:rsid w:val="00275E8F"/>
    <w:rsid w:val="002B1A75"/>
    <w:rsid w:val="002B399E"/>
    <w:rsid w:val="002C07FD"/>
    <w:rsid w:val="002C30AB"/>
    <w:rsid w:val="003127A3"/>
    <w:rsid w:val="00325AAE"/>
    <w:rsid w:val="00333386"/>
    <w:rsid w:val="0034386A"/>
    <w:rsid w:val="003464BC"/>
    <w:rsid w:val="00352EB0"/>
    <w:rsid w:val="00356158"/>
    <w:rsid w:val="00380EE0"/>
    <w:rsid w:val="0038421D"/>
    <w:rsid w:val="003858D2"/>
    <w:rsid w:val="00391218"/>
    <w:rsid w:val="0039335A"/>
    <w:rsid w:val="003A32C8"/>
    <w:rsid w:val="003B3A72"/>
    <w:rsid w:val="003D047E"/>
    <w:rsid w:val="003E30EE"/>
    <w:rsid w:val="003F2167"/>
    <w:rsid w:val="00401487"/>
    <w:rsid w:val="004034DA"/>
    <w:rsid w:val="00411222"/>
    <w:rsid w:val="00416489"/>
    <w:rsid w:val="00442382"/>
    <w:rsid w:val="0048225E"/>
    <w:rsid w:val="00484231"/>
    <w:rsid w:val="00487D3C"/>
    <w:rsid w:val="00497F05"/>
    <w:rsid w:val="004B2521"/>
    <w:rsid w:val="004C5746"/>
    <w:rsid w:val="004E75DB"/>
    <w:rsid w:val="004F2A3E"/>
    <w:rsid w:val="00504E3C"/>
    <w:rsid w:val="00505DEE"/>
    <w:rsid w:val="00516E5D"/>
    <w:rsid w:val="005420CD"/>
    <w:rsid w:val="00556FB1"/>
    <w:rsid w:val="005652F5"/>
    <w:rsid w:val="00575350"/>
    <w:rsid w:val="00575D15"/>
    <w:rsid w:val="005925DC"/>
    <w:rsid w:val="0059372C"/>
    <w:rsid w:val="0059633A"/>
    <w:rsid w:val="00597CF0"/>
    <w:rsid w:val="005B466C"/>
    <w:rsid w:val="005D3B19"/>
    <w:rsid w:val="005E1B23"/>
    <w:rsid w:val="00607BDF"/>
    <w:rsid w:val="006319E3"/>
    <w:rsid w:val="00632030"/>
    <w:rsid w:val="0065694F"/>
    <w:rsid w:val="00663287"/>
    <w:rsid w:val="00675751"/>
    <w:rsid w:val="0068086F"/>
    <w:rsid w:val="006815B9"/>
    <w:rsid w:val="0069693D"/>
    <w:rsid w:val="00697F80"/>
    <w:rsid w:val="006B4DDD"/>
    <w:rsid w:val="006D21E9"/>
    <w:rsid w:val="006D3F9F"/>
    <w:rsid w:val="006E001F"/>
    <w:rsid w:val="006E3FA2"/>
    <w:rsid w:val="006F496F"/>
    <w:rsid w:val="007213DF"/>
    <w:rsid w:val="0072764F"/>
    <w:rsid w:val="00746FBA"/>
    <w:rsid w:val="00754556"/>
    <w:rsid w:val="00756F66"/>
    <w:rsid w:val="00757554"/>
    <w:rsid w:val="00762FF6"/>
    <w:rsid w:val="00767415"/>
    <w:rsid w:val="0078004F"/>
    <w:rsid w:val="007843E9"/>
    <w:rsid w:val="007848DD"/>
    <w:rsid w:val="007A316E"/>
    <w:rsid w:val="007A71B8"/>
    <w:rsid w:val="007C029A"/>
    <w:rsid w:val="007D5479"/>
    <w:rsid w:val="0082579F"/>
    <w:rsid w:val="0084192D"/>
    <w:rsid w:val="00842545"/>
    <w:rsid w:val="008466EE"/>
    <w:rsid w:val="00850341"/>
    <w:rsid w:val="008661D3"/>
    <w:rsid w:val="008704C5"/>
    <w:rsid w:val="008946D3"/>
    <w:rsid w:val="008A7B5A"/>
    <w:rsid w:val="008B3B04"/>
    <w:rsid w:val="008B6CF5"/>
    <w:rsid w:val="008C6ECA"/>
    <w:rsid w:val="008D61EB"/>
    <w:rsid w:val="008D7285"/>
    <w:rsid w:val="008F5432"/>
    <w:rsid w:val="008F77FC"/>
    <w:rsid w:val="009156E1"/>
    <w:rsid w:val="009369B2"/>
    <w:rsid w:val="0097113E"/>
    <w:rsid w:val="00972D54"/>
    <w:rsid w:val="009A3DD5"/>
    <w:rsid w:val="009A7B8C"/>
    <w:rsid w:val="009C23FC"/>
    <w:rsid w:val="009E288D"/>
    <w:rsid w:val="009F2064"/>
    <w:rsid w:val="009F2809"/>
    <w:rsid w:val="00A077B8"/>
    <w:rsid w:val="00A131CE"/>
    <w:rsid w:val="00A220C1"/>
    <w:rsid w:val="00A2784E"/>
    <w:rsid w:val="00A32D8C"/>
    <w:rsid w:val="00A36069"/>
    <w:rsid w:val="00A64DE3"/>
    <w:rsid w:val="00A8434A"/>
    <w:rsid w:val="00AA657A"/>
    <w:rsid w:val="00AD63F6"/>
    <w:rsid w:val="00AD7174"/>
    <w:rsid w:val="00AF22FE"/>
    <w:rsid w:val="00B04013"/>
    <w:rsid w:val="00B05C79"/>
    <w:rsid w:val="00B1284F"/>
    <w:rsid w:val="00B2730C"/>
    <w:rsid w:val="00B30757"/>
    <w:rsid w:val="00B36261"/>
    <w:rsid w:val="00B36AA8"/>
    <w:rsid w:val="00B45943"/>
    <w:rsid w:val="00B57983"/>
    <w:rsid w:val="00B603BE"/>
    <w:rsid w:val="00B8252B"/>
    <w:rsid w:val="00B87E45"/>
    <w:rsid w:val="00B91DEF"/>
    <w:rsid w:val="00BA50B9"/>
    <w:rsid w:val="00BA6AE9"/>
    <w:rsid w:val="00BC3C8F"/>
    <w:rsid w:val="00BE1BA8"/>
    <w:rsid w:val="00BE3914"/>
    <w:rsid w:val="00C0238E"/>
    <w:rsid w:val="00C279AA"/>
    <w:rsid w:val="00C435BC"/>
    <w:rsid w:val="00C44607"/>
    <w:rsid w:val="00C51F8A"/>
    <w:rsid w:val="00C915AE"/>
    <w:rsid w:val="00C97CD6"/>
    <w:rsid w:val="00CA01C4"/>
    <w:rsid w:val="00CA2DA4"/>
    <w:rsid w:val="00CD04DC"/>
    <w:rsid w:val="00D17304"/>
    <w:rsid w:val="00D701F0"/>
    <w:rsid w:val="00D7793B"/>
    <w:rsid w:val="00D87238"/>
    <w:rsid w:val="00DA570F"/>
    <w:rsid w:val="00DC1B3F"/>
    <w:rsid w:val="00DC1C40"/>
    <w:rsid w:val="00DD6A95"/>
    <w:rsid w:val="00DD79B1"/>
    <w:rsid w:val="00DE6ADD"/>
    <w:rsid w:val="00E13FE8"/>
    <w:rsid w:val="00E222EC"/>
    <w:rsid w:val="00E50FED"/>
    <w:rsid w:val="00E614B4"/>
    <w:rsid w:val="00E751F4"/>
    <w:rsid w:val="00E800B2"/>
    <w:rsid w:val="00E83A7D"/>
    <w:rsid w:val="00EA2214"/>
    <w:rsid w:val="00ED0B56"/>
    <w:rsid w:val="00ED32C2"/>
    <w:rsid w:val="00EE218B"/>
    <w:rsid w:val="00EE239A"/>
    <w:rsid w:val="00F02CC3"/>
    <w:rsid w:val="00F041CF"/>
    <w:rsid w:val="00F270EA"/>
    <w:rsid w:val="00F41B33"/>
    <w:rsid w:val="00F45E83"/>
    <w:rsid w:val="00F47A43"/>
    <w:rsid w:val="00F77CBA"/>
    <w:rsid w:val="00F94C3A"/>
    <w:rsid w:val="00F963E7"/>
    <w:rsid w:val="00FA7BC2"/>
    <w:rsid w:val="00FC67F9"/>
    <w:rsid w:val="00FE2775"/>
    <w:rsid w:val="00FF4580"/>
    <w:rsid w:val="00FF6166"/>
    <w:rsid w:val="0151171C"/>
    <w:rsid w:val="01517791"/>
    <w:rsid w:val="01C970B6"/>
    <w:rsid w:val="022A7565"/>
    <w:rsid w:val="02343C76"/>
    <w:rsid w:val="02760355"/>
    <w:rsid w:val="02C6244D"/>
    <w:rsid w:val="03363DE6"/>
    <w:rsid w:val="033D5145"/>
    <w:rsid w:val="035E3A8F"/>
    <w:rsid w:val="03866AF4"/>
    <w:rsid w:val="03923140"/>
    <w:rsid w:val="03AB2410"/>
    <w:rsid w:val="04186E72"/>
    <w:rsid w:val="04F042B8"/>
    <w:rsid w:val="055A57A2"/>
    <w:rsid w:val="05C9019A"/>
    <w:rsid w:val="061C63C8"/>
    <w:rsid w:val="06AC4544"/>
    <w:rsid w:val="075302C7"/>
    <w:rsid w:val="08076E90"/>
    <w:rsid w:val="08294C25"/>
    <w:rsid w:val="08713831"/>
    <w:rsid w:val="087A62CD"/>
    <w:rsid w:val="08CA1C4B"/>
    <w:rsid w:val="08DD5412"/>
    <w:rsid w:val="08E51373"/>
    <w:rsid w:val="090D5C6C"/>
    <w:rsid w:val="092565DC"/>
    <w:rsid w:val="092E519E"/>
    <w:rsid w:val="094B5A51"/>
    <w:rsid w:val="096E08CA"/>
    <w:rsid w:val="09A168DE"/>
    <w:rsid w:val="0A503F7F"/>
    <w:rsid w:val="0A8A65FE"/>
    <w:rsid w:val="0B846617"/>
    <w:rsid w:val="0BA52364"/>
    <w:rsid w:val="0C6B7705"/>
    <w:rsid w:val="0CA82046"/>
    <w:rsid w:val="0D0B7EB7"/>
    <w:rsid w:val="0E0A5056"/>
    <w:rsid w:val="0E1D15CA"/>
    <w:rsid w:val="0EAA2EF8"/>
    <w:rsid w:val="0EEB1397"/>
    <w:rsid w:val="0EF92C59"/>
    <w:rsid w:val="103C6BB5"/>
    <w:rsid w:val="103D472D"/>
    <w:rsid w:val="10783E13"/>
    <w:rsid w:val="109C7533"/>
    <w:rsid w:val="10C349C5"/>
    <w:rsid w:val="112367E5"/>
    <w:rsid w:val="12277E25"/>
    <w:rsid w:val="129210C7"/>
    <w:rsid w:val="12951147"/>
    <w:rsid w:val="12DE3789"/>
    <w:rsid w:val="138C422A"/>
    <w:rsid w:val="14050AAF"/>
    <w:rsid w:val="140D1A6B"/>
    <w:rsid w:val="140E54B1"/>
    <w:rsid w:val="147D18FA"/>
    <w:rsid w:val="147F71E5"/>
    <w:rsid w:val="148A2D7F"/>
    <w:rsid w:val="14DE4036"/>
    <w:rsid w:val="166F753F"/>
    <w:rsid w:val="16995A69"/>
    <w:rsid w:val="16D21EF6"/>
    <w:rsid w:val="173F55D8"/>
    <w:rsid w:val="17A064CE"/>
    <w:rsid w:val="17E35DCA"/>
    <w:rsid w:val="184C014D"/>
    <w:rsid w:val="1880145B"/>
    <w:rsid w:val="18F72E25"/>
    <w:rsid w:val="19236DA6"/>
    <w:rsid w:val="1A587B63"/>
    <w:rsid w:val="1A77119A"/>
    <w:rsid w:val="1A935EED"/>
    <w:rsid w:val="1A9F0ACB"/>
    <w:rsid w:val="1AD51670"/>
    <w:rsid w:val="1AD852C4"/>
    <w:rsid w:val="1C4F556E"/>
    <w:rsid w:val="1C6750A6"/>
    <w:rsid w:val="1C902229"/>
    <w:rsid w:val="1C913B5E"/>
    <w:rsid w:val="1D034A1E"/>
    <w:rsid w:val="1EAB35FF"/>
    <w:rsid w:val="201D208B"/>
    <w:rsid w:val="206C5EC9"/>
    <w:rsid w:val="20B915EB"/>
    <w:rsid w:val="20F91430"/>
    <w:rsid w:val="21670EF9"/>
    <w:rsid w:val="21A43AD1"/>
    <w:rsid w:val="21BE4397"/>
    <w:rsid w:val="21C2386C"/>
    <w:rsid w:val="22410B16"/>
    <w:rsid w:val="227C4D3D"/>
    <w:rsid w:val="22872EB8"/>
    <w:rsid w:val="22AC6C62"/>
    <w:rsid w:val="22B705A3"/>
    <w:rsid w:val="22EC0D2D"/>
    <w:rsid w:val="232B0C83"/>
    <w:rsid w:val="23F5766F"/>
    <w:rsid w:val="245E2BE2"/>
    <w:rsid w:val="247D5E4C"/>
    <w:rsid w:val="24CB5552"/>
    <w:rsid w:val="24CD3D3D"/>
    <w:rsid w:val="24F345B4"/>
    <w:rsid w:val="24FE51F9"/>
    <w:rsid w:val="252D35FC"/>
    <w:rsid w:val="25462785"/>
    <w:rsid w:val="25CC1790"/>
    <w:rsid w:val="267E628C"/>
    <w:rsid w:val="270B536A"/>
    <w:rsid w:val="277622BB"/>
    <w:rsid w:val="27D801F3"/>
    <w:rsid w:val="284905F4"/>
    <w:rsid w:val="288E455E"/>
    <w:rsid w:val="294C3E67"/>
    <w:rsid w:val="29853B8E"/>
    <w:rsid w:val="29EC6D2B"/>
    <w:rsid w:val="2A355615"/>
    <w:rsid w:val="2AB96263"/>
    <w:rsid w:val="2ABF013F"/>
    <w:rsid w:val="2B8F69B9"/>
    <w:rsid w:val="2B9F3247"/>
    <w:rsid w:val="2BC64344"/>
    <w:rsid w:val="2BCF616A"/>
    <w:rsid w:val="2C640053"/>
    <w:rsid w:val="2CAC2953"/>
    <w:rsid w:val="2CC56466"/>
    <w:rsid w:val="2DC51A76"/>
    <w:rsid w:val="2DE62D87"/>
    <w:rsid w:val="2DF77DA2"/>
    <w:rsid w:val="2E047DDC"/>
    <w:rsid w:val="2E377940"/>
    <w:rsid w:val="2E39473F"/>
    <w:rsid w:val="2E4750F0"/>
    <w:rsid w:val="2EB355DD"/>
    <w:rsid w:val="2FBC30FB"/>
    <w:rsid w:val="30AB15EE"/>
    <w:rsid w:val="30B239B0"/>
    <w:rsid w:val="31AB2050"/>
    <w:rsid w:val="31BB324A"/>
    <w:rsid w:val="31DD28BF"/>
    <w:rsid w:val="31E9605E"/>
    <w:rsid w:val="32640A4E"/>
    <w:rsid w:val="32794C34"/>
    <w:rsid w:val="32C75F80"/>
    <w:rsid w:val="333E5FF2"/>
    <w:rsid w:val="334B7971"/>
    <w:rsid w:val="33D26A1B"/>
    <w:rsid w:val="34745BA5"/>
    <w:rsid w:val="34E24E19"/>
    <w:rsid w:val="355C7F05"/>
    <w:rsid w:val="35692138"/>
    <w:rsid w:val="35BA0280"/>
    <w:rsid w:val="35E83E0A"/>
    <w:rsid w:val="36383EBA"/>
    <w:rsid w:val="36FC6239"/>
    <w:rsid w:val="37BA63E7"/>
    <w:rsid w:val="38823091"/>
    <w:rsid w:val="38C92E20"/>
    <w:rsid w:val="38DF3492"/>
    <w:rsid w:val="394E4058"/>
    <w:rsid w:val="398E6B78"/>
    <w:rsid w:val="39C64B0D"/>
    <w:rsid w:val="3A640583"/>
    <w:rsid w:val="3AAE5BB9"/>
    <w:rsid w:val="3AD14F8B"/>
    <w:rsid w:val="3AF54784"/>
    <w:rsid w:val="3B581339"/>
    <w:rsid w:val="3BF31B3C"/>
    <w:rsid w:val="3C0232F7"/>
    <w:rsid w:val="3C6A0631"/>
    <w:rsid w:val="3CAD18B9"/>
    <w:rsid w:val="3CC6768B"/>
    <w:rsid w:val="3D264E73"/>
    <w:rsid w:val="3DB920EC"/>
    <w:rsid w:val="3DE2435F"/>
    <w:rsid w:val="3E1A7DF5"/>
    <w:rsid w:val="3FCC4AE2"/>
    <w:rsid w:val="3FF914D3"/>
    <w:rsid w:val="4033113D"/>
    <w:rsid w:val="415C0899"/>
    <w:rsid w:val="41767C08"/>
    <w:rsid w:val="42265A28"/>
    <w:rsid w:val="423F493A"/>
    <w:rsid w:val="42504AA2"/>
    <w:rsid w:val="42AD6715"/>
    <w:rsid w:val="438F7F67"/>
    <w:rsid w:val="439A25AB"/>
    <w:rsid w:val="43D16268"/>
    <w:rsid w:val="441D476D"/>
    <w:rsid w:val="44D96A66"/>
    <w:rsid w:val="45443C45"/>
    <w:rsid w:val="455F6289"/>
    <w:rsid w:val="457F0D75"/>
    <w:rsid w:val="45926F02"/>
    <w:rsid w:val="45B04DDB"/>
    <w:rsid w:val="45BF194B"/>
    <w:rsid w:val="45C374DC"/>
    <w:rsid w:val="46172E8E"/>
    <w:rsid w:val="46276BBE"/>
    <w:rsid w:val="46A3573C"/>
    <w:rsid w:val="46D73CB7"/>
    <w:rsid w:val="47857697"/>
    <w:rsid w:val="478E22E7"/>
    <w:rsid w:val="47B849CE"/>
    <w:rsid w:val="47E158EF"/>
    <w:rsid w:val="48C047E4"/>
    <w:rsid w:val="48E3308E"/>
    <w:rsid w:val="48EF405B"/>
    <w:rsid w:val="496F65F3"/>
    <w:rsid w:val="4992249B"/>
    <w:rsid w:val="4AAD5E24"/>
    <w:rsid w:val="4AF832D2"/>
    <w:rsid w:val="4B7425E9"/>
    <w:rsid w:val="4CBE427C"/>
    <w:rsid w:val="4CDB7AAD"/>
    <w:rsid w:val="4CF72094"/>
    <w:rsid w:val="4D153388"/>
    <w:rsid w:val="4D524B7B"/>
    <w:rsid w:val="4D7B6E0C"/>
    <w:rsid w:val="4DD16874"/>
    <w:rsid w:val="4E5B101D"/>
    <w:rsid w:val="4EE40ECA"/>
    <w:rsid w:val="4F142256"/>
    <w:rsid w:val="4FAB1C24"/>
    <w:rsid w:val="4FC03F36"/>
    <w:rsid w:val="5021352A"/>
    <w:rsid w:val="50F44E80"/>
    <w:rsid w:val="517D5368"/>
    <w:rsid w:val="5315359C"/>
    <w:rsid w:val="53DA4188"/>
    <w:rsid w:val="53E021C5"/>
    <w:rsid w:val="53EE3212"/>
    <w:rsid w:val="55E45D66"/>
    <w:rsid w:val="57093ACA"/>
    <w:rsid w:val="57810767"/>
    <w:rsid w:val="57971F0E"/>
    <w:rsid w:val="57D739B1"/>
    <w:rsid w:val="58CA4011"/>
    <w:rsid w:val="59286404"/>
    <w:rsid w:val="59805689"/>
    <w:rsid w:val="5A041F43"/>
    <w:rsid w:val="5A735DC7"/>
    <w:rsid w:val="5ACC616E"/>
    <w:rsid w:val="5ADF5165"/>
    <w:rsid w:val="5B7A1459"/>
    <w:rsid w:val="5BE64A8D"/>
    <w:rsid w:val="5BF900B9"/>
    <w:rsid w:val="5CCE4F6D"/>
    <w:rsid w:val="5DCB0627"/>
    <w:rsid w:val="5E142A4F"/>
    <w:rsid w:val="5EA318CC"/>
    <w:rsid w:val="5EC70EB0"/>
    <w:rsid w:val="5F2C079D"/>
    <w:rsid w:val="60181D1F"/>
    <w:rsid w:val="603753D0"/>
    <w:rsid w:val="605B2E72"/>
    <w:rsid w:val="60B34C8D"/>
    <w:rsid w:val="60ED75D1"/>
    <w:rsid w:val="6104770B"/>
    <w:rsid w:val="61A90DCF"/>
    <w:rsid w:val="61FA1DB7"/>
    <w:rsid w:val="62073900"/>
    <w:rsid w:val="62A628EB"/>
    <w:rsid w:val="632A5ADD"/>
    <w:rsid w:val="63553E1F"/>
    <w:rsid w:val="639C6756"/>
    <w:rsid w:val="63A61F73"/>
    <w:rsid w:val="63D65645"/>
    <w:rsid w:val="65061C26"/>
    <w:rsid w:val="65C03D6E"/>
    <w:rsid w:val="65F04526"/>
    <w:rsid w:val="660B7B5E"/>
    <w:rsid w:val="67116D54"/>
    <w:rsid w:val="67576EF2"/>
    <w:rsid w:val="675E3EED"/>
    <w:rsid w:val="67764C25"/>
    <w:rsid w:val="68433134"/>
    <w:rsid w:val="68E01DAF"/>
    <w:rsid w:val="68E0554F"/>
    <w:rsid w:val="69293994"/>
    <w:rsid w:val="696B520E"/>
    <w:rsid w:val="69DA35FC"/>
    <w:rsid w:val="69F5490A"/>
    <w:rsid w:val="6A6F2224"/>
    <w:rsid w:val="6AF476B7"/>
    <w:rsid w:val="6AF662BF"/>
    <w:rsid w:val="6AFF5B10"/>
    <w:rsid w:val="6B8923E8"/>
    <w:rsid w:val="6BA6118C"/>
    <w:rsid w:val="6BB7430F"/>
    <w:rsid w:val="6C773B5D"/>
    <w:rsid w:val="6CEA4F99"/>
    <w:rsid w:val="6D2F64F6"/>
    <w:rsid w:val="6D787BBD"/>
    <w:rsid w:val="6F2A3E02"/>
    <w:rsid w:val="6FAC722F"/>
    <w:rsid w:val="6FB934DD"/>
    <w:rsid w:val="6FC02178"/>
    <w:rsid w:val="6FF9368C"/>
    <w:rsid w:val="71CE26BE"/>
    <w:rsid w:val="7355548D"/>
    <w:rsid w:val="738F6432"/>
    <w:rsid w:val="74FA1BCD"/>
    <w:rsid w:val="752D6EFA"/>
    <w:rsid w:val="75C36C3C"/>
    <w:rsid w:val="766252D1"/>
    <w:rsid w:val="76EB1DA7"/>
    <w:rsid w:val="772758A0"/>
    <w:rsid w:val="77672896"/>
    <w:rsid w:val="776C7D17"/>
    <w:rsid w:val="78771239"/>
    <w:rsid w:val="78A10421"/>
    <w:rsid w:val="78B32E34"/>
    <w:rsid w:val="78E177C9"/>
    <w:rsid w:val="78EF1E49"/>
    <w:rsid w:val="79765965"/>
    <w:rsid w:val="79BA418F"/>
    <w:rsid w:val="79EA4BE9"/>
    <w:rsid w:val="7A7E5352"/>
    <w:rsid w:val="7B424051"/>
    <w:rsid w:val="7B69628A"/>
    <w:rsid w:val="7B936A8C"/>
    <w:rsid w:val="7C453054"/>
    <w:rsid w:val="7C6B4659"/>
    <w:rsid w:val="7CA91CC5"/>
    <w:rsid w:val="7CD011EE"/>
    <w:rsid w:val="7D9304C2"/>
    <w:rsid w:val="7DA514DF"/>
    <w:rsid w:val="7F093415"/>
    <w:rsid w:val="7F1F11C2"/>
    <w:rsid w:val="7F9C2E93"/>
    <w:rsid w:val="7FF9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35D2776-49DA-492E-8A4F-50E6447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next w:val="a"/>
    <w:uiPriority w:val="9"/>
    <w:qFormat/>
    <w:pPr>
      <w:spacing w:line="360" w:lineRule="auto"/>
      <w:ind w:firstLineChars="200" w:firstLine="480"/>
      <w:outlineLvl w:val="3"/>
    </w:pPr>
    <w:rPr>
      <w:rFonts w:ascii="宋体" w:hAnsi="宋体"/>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ascii="Arial" w:eastAsia="宋体" w:hAnsi="Arial" w:cs="Times New Roman"/>
      <w:color w:val="000000"/>
    </w:rPr>
  </w:style>
  <w:style w:type="paragraph" w:styleId="a4">
    <w:name w:val="Normal Indent"/>
    <w:basedOn w:val="a"/>
    <w:unhideWhenUsed/>
    <w:qFormat/>
    <w:pPr>
      <w:ind w:firstLineChars="200" w:firstLine="420"/>
    </w:pPr>
    <w:rPr>
      <w:rFonts w:ascii="Times New Roman" w:eastAsia="宋体" w:hAnsi="Times New Roman" w:cs="Times New Roman"/>
    </w:rPr>
  </w:style>
  <w:style w:type="paragraph" w:styleId="a5">
    <w:name w:val="annotation text"/>
    <w:basedOn w:val="a"/>
    <w:uiPriority w:val="99"/>
    <w:semiHidden/>
    <w:unhideWhenUsed/>
    <w:qFormat/>
    <w:pPr>
      <w:jc w:val="left"/>
    </w:p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character" w:styleId="aa">
    <w:name w:val="Hyperlink"/>
    <w:basedOn w:val="a1"/>
    <w:qFormat/>
    <w:rPr>
      <w:color w:val="0000FF"/>
      <w:u w:val="single"/>
    </w:rPr>
  </w:style>
  <w:style w:type="paragraph" w:styleId="ab">
    <w:name w:val="List Paragraph"/>
    <w:basedOn w:val="a"/>
    <w:uiPriority w:val="34"/>
    <w:qFormat/>
    <w:pPr>
      <w:ind w:firstLine="420"/>
    </w:pPr>
  </w:style>
  <w:style w:type="character" w:customStyle="1" w:styleId="Char1">
    <w:name w:val="页眉 Char"/>
    <w:basedOn w:val="a1"/>
    <w:link w:val="a7"/>
    <w:qFormat/>
    <w:rPr>
      <w:kern w:val="2"/>
      <w:sz w:val="18"/>
      <w:szCs w:val="18"/>
    </w:rPr>
  </w:style>
  <w:style w:type="character" w:customStyle="1" w:styleId="Char0">
    <w:name w:val="页脚 Char"/>
    <w:basedOn w:val="a1"/>
    <w:link w:val="a6"/>
    <w:qFormat/>
    <w:rPr>
      <w:kern w:val="2"/>
      <w:sz w:val="18"/>
      <w:szCs w:val="18"/>
    </w:rPr>
  </w:style>
  <w:style w:type="paragraph" w:customStyle="1" w:styleId="10">
    <w:name w:val="列表段落1"/>
    <w:basedOn w:val="a"/>
    <w:semiHidden/>
    <w:qFormat/>
    <w:pPr>
      <w:widowControl/>
      <w:ind w:firstLineChars="200" w:firstLine="420"/>
      <w:jc w:val="left"/>
    </w:pPr>
    <w:rPr>
      <w:rFonts w:ascii="Times New Roman" w:eastAsia="宋体" w:hAnsi="Times New Roman" w:cs="Times New Roman"/>
      <w:kern w:val="0"/>
      <w:sz w:val="24"/>
    </w:rPr>
  </w:style>
  <w:style w:type="character" w:customStyle="1" w:styleId="Char">
    <w:name w:val="正文文本 Char"/>
    <w:basedOn w:val="a1"/>
    <w:link w:val="a0"/>
    <w:qFormat/>
    <w:rPr>
      <w:rFonts w:ascii="Arial" w:eastAsia="宋体" w:hAnsi="Arial" w:cs="Times New Roman"/>
      <w:color w:val="000000"/>
      <w:kern w:val="2"/>
      <w:sz w:val="21"/>
      <w:szCs w:val="24"/>
    </w:rPr>
  </w:style>
  <w:style w:type="paragraph" w:customStyle="1" w:styleId="2">
    <w:name w:val="列表段落2"/>
    <w:basedOn w:val="a"/>
    <w:qFormat/>
    <w:pPr>
      <w:ind w:firstLineChars="200" w:firstLine="420"/>
    </w:pPr>
    <w:rPr>
      <w:rFonts w:ascii="等线" w:eastAsia="等线" w:hAnsi="等线" w:cs="Times New Roman"/>
      <w:szCs w:val="21"/>
    </w:rPr>
  </w:style>
  <w:style w:type="character" w:customStyle="1" w:styleId="hover">
    <w:name w:val="hover"/>
    <w:basedOn w:val="a1"/>
    <w:qFormat/>
    <w:rPr>
      <w:shd w:val="clear" w:color="auto" w:fill="FFFFFF"/>
    </w:rPr>
  </w:style>
  <w:style w:type="character" w:customStyle="1" w:styleId="last-child">
    <w:name w:val="last-child"/>
    <w:basedOn w:val="a1"/>
    <w:qFormat/>
  </w:style>
  <w:style w:type="character" w:customStyle="1" w:styleId="nxdt-active">
    <w:name w:val="nxdt-active"/>
    <w:basedOn w:val="a1"/>
    <w:qFormat/>
    <w:rPr>
      <w:color w:val="333333"/>
    </w:rPr>
  </w:style>
  <w:style w:type="character" w:customStyle="1" w:styleId="publishdate">
    <w:name w:val="publishdate"/>
    <w:basedOn w:val="a1"/>
    <w:qFormat/>
  </w:style>
  <w:style w:type="character" w:customStyle="1" w:styleId="active1">
    <w:name w:val="active1"/>
    <w:basedOn w:val="a1"/>
    <w:qFormat/>
    <w:rPr>
      <w:bdr w:val="single" w:sz="6" w:space="0" w:color="009C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2850</Characters>
  <Application>Microsoft Office Word</Application>
  <DocSecurity>0</DocSecurity>
  <Lines>23</Lines>
  <Paragraphs>6</Paragraphs>
  <ScaleCrop>false</ScaleCrop>
  <Company>gznx.network</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100057-唐立群</cp:lastModifiedBy>
  <cp:revision>183</cp:revision>
  <dcterms:created xsi:type="dcterms:W3CDTF">2022-11-28T06:53:00Z</dcterms:created>
  <dcterms:modified xsi:type="dcterms:W3CDTF">2023-07-05T08:31:00Z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